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31" w:rsidRDefault="000F0431" w:rsidP="00086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31" w:rsidRPr="000F0431" w:rsidRDefault="000F0431" w:rsidP="000F043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431">
        <w:rPr>
          <w:rFonts w:ascii="Times New Roman" w:eastAsia="Times New Roman" w:hAnsi="Times New Roman" w:cs="Times New Roman"/>
          <w:b/>
          <w:sz w:val="28"/>
          <w:szCs w:val="28"/>
        </w:rPr>
        <w:t>ПЯТИГОРСКИЙ МЕДИКО-ФАРМАЦЕВТИЧЕСКИЙ ИНСТИТУТ –</w:t>
      </w:r>
    </w:p>
    <w:p w:rsidR="000F0431" w:rsidRPr="000F0431" w:rsidRDefault="000F0431" w:rsidP="000F043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431">
        <w:rPr>
          <w:rFonts w:ascii="Times New Roman" w:eastAsia="Times New Roman" w:hAnsi="Times New Roman" w:cs="Times New Roman"/>
          <w:sz w:val="28"/>
          <w:szCs w:val="28"/>
        </w:rPr>
        <w:t>филиал федерального государственного бюджетного образовательного учреждения высшего образования</w:t>
      </w:r>
    </w:p>
    <w:p w:rsidR="000F0431" w:rsidRPr="000F0431" w:rsidRDefault="000F0431" w:rsidP="000F043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431">
        <w:rPr>
          <w:rFonts w:ascii="Times New Roman" w:eastAsia="Times New Roman" w:hAnsi="Times New Roman" w:cs="Times New Roman"/>
          <w:b/>
          <w:sz w:val="28"/>
          <w:szCs w:val="28"/>
        </w:rPr>
        <w:t>«ВОЛГОГРАДСКИЙ ГОСУДАРСТВЕННЫЙ</w:t>
      </w:r>
    </w:p>
    <w:p w:rsidR="000F0431" w:rsidRPr="000F0431" w:rsidRDefault="000F0431" w:rsidP="000F043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431">
        <w:rPr>
          <w:rFonts w:ascii="Times New Roman" w:eastAsia="Times New Roman" w:hAnsi="Times New Roman" w:cs="Times New Roman"/>
          <w:b/>
          <w:sz w:val="28"/>
          <w:szCs w:val="28"/>
        </w:rPr>
        <w:t>МЕДИЦИНСКИЙ УНИВЕРСИТЕТ»</w:t>
      </w:r>
    </w:p>
    <w:p w:rsidR="000F0431" w:rsidRPr="000F0431" w:rsidRDefault="000F0431" w:rsidP="000F043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431"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0F0431" w:rsidRPr="000F0431" w:rsidRDefault="000F0431" w:rsidP="000F0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043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F0431" w:rsidRPr="000F0431" w:rsidRDefault="000F0431" w:rsidP="000F0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0431" w:rsidRPr="000F0431" w:rsidRDefault="000F0431" w:rsidP="000F0431">
      <w:pPr>
        <w:shd w:val="clear" w:color="auto" w:fill="FFFFFF"/>
        <w:tabs>
          <w:tab w:val="left" w:pos="142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4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0F0431" w:rsidRPr="000F0431" w:rsidRDefault="000F0431" w:rsidP="000F0431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4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директора по УВР</w:t>
      </w:r>
    </w:p>
    <w:p w:rsidR="000F0431" w:rsidRPr="000F0431" w:rsidRDefault="000F0431" w:rsidP="000F0431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F0431" w:rsidRPr="000F0431" w:rsidRDefault="000F0431" w:rsidP="000F0431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4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_______________М.В. </w:t>
      </w:r>
      <w:proofErr w:type="spellStart"/>
      <w:r w:rsidRPr="000F04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Черников</w:t>
      </w:r>
      <w:proofErr w:type="spellEnd"/>
    </w:p>
    <w:p w:rsidR="000F0431" w:rsidRPr="000F0431" w:rsidRDefault="000F0431" w:rsidP="000F0431">
      <w:pPr>
        <w:tabs>
          <w:tab w:val="left" w:pos="142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04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«31» августа 2022 г.</w:t>
      </w:r>
    </w:p>
    <w:p w:rsidR="000F0431" w:rsidRDefault="000F0431" w:rsidP="00086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31" w:rsidRDefault="000F0431" w:rsidP="00086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31" w:rsidRDefault="000F0431" w:rsidP="00086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31" w:rsidRPr="000F0431" w:rsidRDefault="000F0431" w:rsidP="000F04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6EE0" w:rsidRPr="000F0431" w:rsidRDefault="00086EE0" w:rsidP="00086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431"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</w:p>
    <w:p w:rsidR="00086EE0" w:rsidRPr="000F0431" w:rsidRDefault="00086EE0" w:rsidP="00086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431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086EE0" w:rsidRPr="000F0431" w:rsidRDefault="00086EE0" w:rsidP="00086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043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F0431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</w:p>
    <w:p w:rsidR="00086EE0" w:rsidRPr="000F0431" w:rsidRDefault="00086EE0" w:rsidP="00086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431">
        <w:rPr>
          <w:rFonts w:ascii="Times New Roman" w:hAnsi="Times New Roman" w:cs="Times New Roman"/>
          <w:b/>
          <w:sz w:val="28"/>
          <w:szCs w:val="28"/>
        </w:rPr>
        <w:t>«Современные технологии в детской стоматологии»</w:t>
      </w:r>
    </w:p>
    <w:p w:rsidR="00086EE0" w:rsidRPr="000F0431" w:rsidRDefault="00086EE0" w:rsidP="00086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431">
        <w:rPr>
          <w:rFonts w:ascii="Times New Roman" w:hAnsi="Times New Roman" w:cs="Times New Roman"/>
          <w:b/>
          <w:sz w:val="28"/>
          <w:szCs w:val="28"/>
        </w:rPr>
        <w:t>по специальности « СТОМАТОЛОГИЯ»</w:t>
      </w:r>
    </w:p>
    <w:p w:rsidR="00086EE0" w:rsidRPr="000F0431" w:rsidRDefault="00086EE0" w:rsidP="00086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431" w:rsidRPr="000F0431" w:rsidRDefault="000F0431" w:rsidP="00086E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431" w:rsidRDefault="000F0431" w:rsidP="00086E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431" w:rsidRDefault="000F0431" w:rsidP="00086E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431" w:rsidRDefault="000F0431" w:rsidP="00086E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431" w:rsidRDefault="000F0431" w:rsidP="00086E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431" w:rsidRDefault="000F0431" w:rsidP="00086E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431" w:rsidRDefault="000F0431" w:rsidP="00086E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431" w:rsidRDefault="000F0431" w:rsidP="00086E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431" w:rsidRDefault="000F0431" w:rsidP="00086E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431" w:rsidRDefault="000F0431" w:rsidP="00086E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431" w:rsidRDefault="000F0431" w:rsidP="00086E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431" w:rsidRDefault="000F0431" w:rsidP="00086E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431" w:rsidRDefault="000F0431" w:rsidP="00086E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431" w:rsidRDefault="000F0431" w:rsidP="00086E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431" w:rsidRDefault="000F0431" w:rsidP="00086E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431" w:rsidRDefault="000F0431" w:rsidP="00086E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431" w:rsidRDefault="000F0431" w:rsidP="00086E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431" w:rsidRDefault="000F0431" w:rsidP="00086E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431" w:rsidRDefault="000F0431" w:rsidP="00086E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431" w:rsidRDefault="000F0431" w:rsidP="00086E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431" w:rsidRDefault="000F0431" w:rsidP="00086E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431" w:rsidRDefault="000F0431" w:rsidP="00086E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431" w:rsidRPr="000F0431" w:rsidRDefault="000F0431" w:rsidP="000F04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431">
        <w:rPr>
          <w:rFonts w:ascii="Times New Roman" w:hAnsi="Times New Roman" w:cs="Times New Roman"/>
          <w:sz w:val="28"/>
          <w:szCs w:val="28"/>
        </w:rPr>
        <w:t>Пятигорск, 2022</w:t>
      </w:r>
    </w:p>
    <w:p w:rsidR="00086EE0" w:rsidRDefault="00086EE0" w:rsidP="00086E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РАЗРАБОТЧИКИ: доцент кафедры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кафедры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стоматологии, к.м.н., Чижикова Т.В.</w:t>
      </w:r>
    </w:p>
    <w:p w:rsidR="00086EE0" w:rsidRDefault="00086EE0" w:rsidP="00086E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69B" w:rsidRDefault="005D669B" w:rsidP="005D66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6270CE">
        <w:rPr>
          <w:rFonts w:ascii="Times New Roman" w:hAnsi="Times New Roman" w:cs="Times New Roman"/>
          <w:b/>
          <w:sz w:val="24"/>
          <w:szCs w:val="28"/>
        </w:rPr>
        <w:t xml:space="preserve">РЕЦЕНЗЕНТ: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профессор кафедры стоматологии общей практики и детской стоматологии ФГБОУ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«Ставропольский государственный медицинский университет» Минздрава России, д.м.н., доцент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Доменюк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Д.А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</w:p>
    <w:p w:rsidR="005D669B" w:rsidRDefault="005D669B" w:rsidP="00086EE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086EE0" w:rsidRDefault="00086EE0" w:rsidP="00086E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E91FF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В рамках дисциплины формируются следующие компетен</w:t>
      </w:r>
      <w:r w:rsidRPr="006270CE">
        <w:rPr>
          <w:rFonts w:ascii="Times New Roman" w:hAnsi="Times New Roman" w:cs="Times New Roman"/>
          <w:b/>
          <w:sz w:val="24"/>
          <w:szCs w:val="28"/>
        </w:rPr>
        <w:t>ции, подлежащие оценке настоящим ФОС:</w:t>
      </w:r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Общекультурные:                                                                                                                        </w:t>
      </w:r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ОК-4 - способность действовать в нестандартных ситуациях, нести социальную и этическую ответственность за принятые решения                                             </w:t>
      </w:r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Общепрофессиональные:                                                                                                           </w:t>
      </w:r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ОПК-1 - готовность решать стандартные задачи профессиональной деятельности с использованием информационных, библиографических  ресурсов, медико-биологической терминологии, информационно-коммуникационных технологий и учетом основных </w:t>
      </w:r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требований информационной безопасности                                                                           </w:t>
      </w:r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>ОПК-4 - способность и готовность реализовать этически</w:t>
      </w:r>
      <w:r>
        <w:rPr>
          <w:rFonts w:ascii="Times New Roman" w:hAnsi="Times New Roman" w:cs="Times New Roman"/>
          <w:sz w:val="24"/>
          <w:szCs w:val="24"/>
        </w:rPr>
        <w:t xml:space="preserve">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деонтологические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принципы в </w:t>
      </w:r>
      <w:r w:rsidRPr="00086EE0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                                                                                              ОПК-6 - готовность  к ведению медицинской документации                                                         ОПК-7 – готовность к использованию основных физико-химических, математических и иных естественнонаучных понятий и  методов при решении профессиональных задач     ОПК-8 – готовность к медицинскому применению лекарственных препаратов и иных </w:t>
      </w:r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веществ и их комбинаций при решении профессиональных задач                                       ОПК-9 – способность к оценке морфофункциональных, физиологических состояний и патологических процессов в организме человека для решения профессиональных задач       ОПК-10 – готовность к обеспечению организации ухода за больными и оказанию </w:t>
      </w:r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первичной доврачебной медико-санитарной помощи                                                                </w:t>
      </w:r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ОПК -11 – готовность к применению медицинских изделий, предусмотренных порядками </w:t>
      </w:r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оказания медицинской помощи пациентам со стоматологическими заболеваниями   </w:t>
      </w:r>
    </w:p>
    <w:p w:rsidR="00086EE0" w:rsidRPr="00086EE0" w:rsidRDefault="00086EE0" w:rsidP="00086EE0">
      <w:pPr>
        <w:spacing w:after="0" w:line="266" w:lineRule="auto"/>
        <w:ind w:left="-5" w:right="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EE0">
        <w:rPr>
          <w:rFonts w:ascii="Times New Roman" w:hAnsi="Times New Roman" w:cs="Times New Roman"/>
          <w:sz w:val="24"/>
          <w:szCs w:val="24"/>
        </w:rPr>
        <w:t>Профессиональные</w:t>
      </w:r>
      <w:proofErr w:type="gramEnd"/>
      <w:r w:rsidRPr="00086EE0">
        <w:rPr>
          <w:rFonts w:ascii="Times New Roman" w:hAnsi="Times New Roman" w:cs="Times New Roman"/>
          <w:sz w:val="24"/>
          <w:szCs w:val="24"/>
        </w:rPr>
        <w:t xml:space="preserve"> компетенции-</w:t>
      </w:r>
      <w:r w:rsidRPr="00086EE0">
        <w:rPr>
          <w:rFonts w:ascii="Times New Roman" w:hAnsi="Times New Roman" w:cs="Times New Roman"/>
          <w:i/>
          <w:sz w:val="24"/>
          <w:szCs w:val="24"/>
        </w:rPr>
        <w:t>профилактическая деятельность:</w:t>
      </w:r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ПК-1 – способность и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086EE0">
        <w:rPr>
          <w:rFonts w:ascii="Times New Roman" w:hAnsi="Times New Roman" w:cs="Times New Roman"/>
          <w:sz w:val="24"/>
          <w:szCs w:val="24"/>
        </w:rPr>
        <w:t>влияния</w:t>
      </w:r>
      <w:proofErr w:type="gramEnd"/>
      <w:r w:rsidRPr="00086EE0">
        <w:rPr>
          <w:rFonts w:ascii="Times New Roman" w:hAnsi="Times New Roman" w:cs="Times New Roman"/>
          <w:sz w:val="24"/>
          <w:szCs w:val="24"/>
        </w:rPr>
        <w:t xml:space="preserve"> на здоровье человека факторов среды его обитания                                                                    </w:t>
      </w:r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ПК-2 – способность и готовность к проведению профилактических медицинских осмотров, диспансеризации и осуществлению диспансерного наблюдения за пациентами со стоматологической патологией </w:t>
      </w:r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ПК-4 – способность и готовность к применению социально-гигиенических методик сбора и медико-статистического анализа информации о стоматологической заболеваемости  </w:t>
      </w:r>
      <w:r w:rsidRPr="00086EE0">
        <w:rPr>
          <w:rFonts w:ascii="Times New Roman" w:hAnsi="Times New Roman" w:cs="Times New Roman"/>
          <w:i/>
          <w:sz w:val="24"/>
          <w:szCs w:val="24"/>
        </w:rPr>
        <w:t>диагностическая деятельность:</w:t>
      </w:r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ПК-6– способность к определению у пациентов основных патологических состояний, симптомов, синдромов стоматологических заболеваний, нозологических форм </w:t>
      </w:r>
      <w:proofErr w:type="gramStart"/>
      <w:r w:rsidRPr="00086EE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EE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086EE0">
        <w:rPr>
          <w:rFonts w:ascii="Times New Roman" w:hAnsi="Times New Roman" w:cs="Times New Roman"/>
          <w:sz w:val="24"/>
          <w:szCs w:val="24"/>
        </w:rPr>
        <w:t xml:space="preserve"> с Международной статистической классификацией болезней и проблем, </w:t>
      </w:r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EE0">
        <w:rPr>
          <w:rFonts w:ascii="Times New Roman" w:hAnsi="Times New Roman" w:cs="Times New Roman"/>
          <w:sz w:val="24"/>
          <w:szCs w:val="24"/>
        </w:rPr>
        <w:lastRenderedPageBreak/>
        <w:t>связанных</w:t>
      </w:r>
      <w:proofErr w:type="gramEnd"/>
      <w:r w:rsidRPr="00086EE0">
        <w:rPr>
          <w:rFonts w:ascii="Times New Roman" w:hAnsi="Times New Roman" w:cs="Times New Roman"/>
          <w:sz w:val="24"/>
          <w:szCs w:val="24"/>
        </w:rPr>
        <w:t xml:space="preserve"> со здоровьем, Х просмотра                                                                                       </w:t>
      </w:r>
      <w:r w:rsidRPr="00086EE0">
        <w:rPr>
          <w:rFonts w:ascii="Times New Roman" w:hAnsi="Times New Roman" w:cs="Times New Roman"/>
          <w:i/>
          <w:sz w:val="24"/>
          <w:szCs w:val="24"/>
        </w:rPr>
        <w:t>лечебная деятельность:</w:t>
      </w:r>
      <w:r w:rsidRPr="00086E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ПК-8 – способность к определению тактики ведения больных с </w:t>
      </w:r>
      <w:proofErr w:type="gramStart"/>
      <w:r w:rsidRPr="00086EE0">
        <w:rPr>
          <w:rFonts w:ascii="Times New Roman" w:hAnsi="Times New Roman" w:cs="Times New Roman"/>
          <w:sz w:val="24"/>
          <w:szCs w:val="24"/>
        </w:rPr>
        <w:t>различными</w:t>
      </w:r>
      <w:proofErr w:type="gramEnd"/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стоматологическими заболеваниями                                                                         </w:t>
      </w:r>
      <w:r w:rsidRPr="00086EE0">
        <w:rPr>
          <w:rFonts w:ascii="Times New Roman" w:hAnsi="Times New Roman" w:cs="Times New Roman"/>
          <w:i/>
          <w:sz w:val="24"/>
          <w:szCs w:val="24"/>
        </w:rPr>
        <w:t>реабилитационная деятельность:</w:t>
      </w:r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>ПК-11</w:t>
      </w:r>
      <w:r w:rsidRPr="00086EE0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086EE0">
        <w:rPr>
          <w:rFonts w:ascii="Times New Roman" w:hAnsi="Times New Roman" w:cs="Times New Roman"/>
          <w:sz w:val="24"/>
          <w:szCs w:val="24"/>
        </w:rPr>
        <w:t xml:space="preserve"> готовность к определению необходимости природных лечебных факторов, лекарственной, не медикаментозной терапии и других методов у пациентов </w:t>
      </w:r>
      <w:proofErr w:type="gramStart"/>
      <w:r w:rsidRPr="00086EE0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стоматологическими заболеваниями, </w:t>
      </w:r>
      <w:proofErr w:type="gramStart"/>
      <w:r w:rsidRPr="00086EE0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086EE0">
        <w:rPr>
          <w:rFonts w:ascii="Times New Roman" w:hAnsi="Times New Roman" w:cs="Times New Roman"/>
          <w:sz w:val="24"/>
          <w:szCs w:val="24"/>
        </w:rPr>
        <w:t xml:space="preserve"> в медицинской реабилитации и санаторно-курортном лечении</w:t>
      </w:r>
    </w:p>
    <w:p w:rsidR="00086EE0" w:rsidRDefault="00086EE0" w:rsidP="00086EE0">
      <w:pPr>
        <w:spacing w:after="0" w:line="266" w:lineRule="auto"/>
        <w:ind w:left="-5" w:right="4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6EE0">
        <w:rPr>
          <w:rFonts w:ascii="Times New Roman" w:hAnsi="Times New Roman" w:cs="Times New Roman"/>
          <w:i/>
          <w:sz w:val="24"/>
          <w:szCs w:val="24"/>
        </w:rPr>
        <w:t xml:space="preserve">психолого-педагогическая деятельность:                                                                            </w:t>
      </w:r>
    </w:p>
    <w:p w:rsidR="00086EE0" w:rsidRPr="00086EE0" w:rsidRDefault="00086EE0" w:rsidP="00086EE0">
      <w:pPr>
        <w:spacing w:after="0" w:line="266" w:lineRule="auto"/>
        <w:ind w:left="-5" w:right="4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ПК-12 – готовность к обучению населения основным гигиеническим мероприятиям оздоровительного характера, навыкам самоконтроля </w:t>
      </w:r>
      <w:proofErr w:type="gramStart"/>
      <w:r w:rsidRPr="00086EE0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086EE0">
        <w:rPr>
          <w:rFonts w:ascii="Times New Roman" w:hAnsi="Times New Roman" w:cs="Times New Roman"/>
          <w:sz w:val="24"/>
          <w:szCs w:val="24"/>
        </w:rPr>
        <w:t xml:space="preserve"> физиологических </w:t>
      </w:r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показателей, </w:t>
      </w:r>
      <w:proofErr w:type="gramStart"/>
      <w:r w:rsidRPr="00086EE0">
        <w:rPr>
          <w:rFonts w:ascii="Times New Roman" w:hAnsi="Times New Roman" w:cs="Times New Roman"/>
          <w:sz w:val="24"/>
          <w:szCs w:val="24"/>
        </w:rPr>
        <w:t>способствующим</w:t>
      </w:r>
      <w:proofErr w:type="gramEnd"/>
      <w:r w:rsidRPr="00086EE0">
        <w:rPr>
          <w:rFonts w:ascii="Times New Roman" w:hAnsi="Times New Roman" w:cs="Times New Roman"/>
          <w:sz w:val="24"/>
          <w:szCs w:val="24"/>
        </w:rPr>
        <w:t xml:space="preserve"> сохранению и укреплению здоровья, профилактике </w:t>
      </w:r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стоматологических заболеваний                                                                                                  </w:t>
      </w:r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ПК-13 – готовность к просветительской деятельности по устранению факторов риска и формированию навыков здорового образа жизни                                                         </w:t>
      </w:r>
      <w:r w:rsidRPr="00086EE0">
        <w:rPr>
          <w:rFonts w:ascii="Times New Roman" w:hAnsi="Times New Roman" w:cs="Times New Roman"/>
          <w:i/>
          <w:sz w:val="24"/>
          <w:szCs w:val="24"/>
        </w:rPr>
        <w:t>организационно-управленческая деятельность:</w:t>
      </w:r>
      <w:r w:rsidRPr="00086E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ПК-15 – готовность к участию в оценке качества оказания стоматологической помощи с использованием основных медико-статистических показателей                                          </w:t>
      </w:r>
    </w:p>
    <w:p w:rsidR="00086EE0" w:rsidRDefault="00086EE0" w:rsidP="00086EE0">
      <w:pPr>
        <w:spacing w:after="0" w:line="266" w:lineRule="auto"/>
        <w:ind w:left="-5" w:right="4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6EE0">
        <w:rPr>
          <w:rFonts w:ascii="Times New Roman" w:hAnsi="Times New Roman" w:cs="Times New Roman"/>
          <w:i/>
          <w:sz w:val="24"/>
          <w:szCs w:val="24"/>
        </w:rPr>
        <w:t xml:space="preserve">научно-исследовательская деятельность:                                                                         </w:t>
      </w:r>
    </w:p>
    <w:p w:rsidR="00086EE0" w:rsidRPr="00086EE0" w:rsidRDefault="00086EE0" w:rsidP="00086EE0">
      <w:pPr>
        <w:spacing w:after="0" w:line="266" w:lineRule="auto"/>
        <w:ind w:left="-5" w:right="4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ПК-17 - готовность к анализу и публичному представлению медицинской информации </w:t>
      </w:r>
      <w:proofErr w:type="gramStart"/>
      <w:r w:rsidRPr="00086EE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основе доказательной медицины </w:t>
      </w:r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ПК-18 – способность к участию в проведении научных исследований </w:t>
      </w:r>
    </w:p>
    <w:p w:rsidR="00086EE0" w:rsidRDefault="00086EE0" w:rsidP="00086EE0">
      <w:pPr>
        <w:spacing w:after="0"/>
      </w:pPr>
    </w:p>
    <w:p w:rsidR="00086EE0" w:rsidRPr="00064113" w:rsidRDefault="00086EE0" w:rsidP="00086EE0">
      <w:pPr>
        <w:pStyle w:val="a3"/>
        <w:spacing w:after="0"/>
        <w:ind w:lef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113">
        <w:rPr>
          <w:rFonts w:ascii="Times New Roman" w:hAnsi="Times New Roman" w:cs="Times New Roman"/>
          <w:b/>
          <w:sz w:val="24"/>
          <w:szCs w:val="24"/>
        </w:rPr>
        <w:t>ВОПРОСЫ К ЗАЧЕТУ:</w:t>
      </w:r>
    </w:p>
    <w:tbl>
      <w:tblPr>
        <w:tblW w:w="9573" w:type="dxa"/>
        <w:tblInd w:w="-108" w:type="dxa"/>
        <w:tblCellMar>
          <w:top w:w="7" w:type="dxa"/>
          <w:right w:w="51" w:type="dxa"/>
        </w:tblCellMar>
        <w:tblLook w:val="04A0"/>
      </w:tblPr>
      <w:tblGrid>
        <w:gridCol w:w="816"/>
        <w:gridCol w:w="5564"/>
        <w:gridCol w:w="3193"/>
      </w:tblGrid>
      <w:tr w:rsidR="00086EE0" w:rsidRPr="009678E0" w:rsidTr="002E5030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E0" w:rsidRPr="009678E0" w:rsidRDefault="00086EE0" w:rsidP="002E503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E0" w:rsidRPr="009678E0" w:rsidRDefault="00086EE0" w:rsidP="002E503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E0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текущей аттестации и к рубежному контролю успеваемости студента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E0" w:rsidRPr="009678E0" w:rsidRDefault="00086EE0" w:rsidP="002E503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8E0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компетенции </w:t>
            </w:r>
          </w:p>
        </w:tc>
      </w:tr>
      <w:tr w:rsidR="00086EE0" w:rsidRPr="00BE456A" w:rsidTr="002E5030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E0" w:rsidRPr="00BE456A" w:rsidRDefault="00086EE0" w:rsidP="002E5030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E0" w:rsidRPr="00086EE0" w:rsidRDefault="00086EE0" w:rsidP="002E503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E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лечения кариеса молочных и постоянных  зубов у детей.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E0" w:rsidRPr="00086EE0" w:rsidRDefault="00086EE0" w:rsidP="002E503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E0">
              <w:rPr>
                <w:rFonts w:ascii="Times New Roman" w:hAnsi="Times New Roman" w:cs="Times New Roman"/>
                <w:sz w:val="24"/>
                <w:szCs w:val="24"/>
              </w:rPr>
              <w:t xml:space="preserve">ОП-1; ОПК-1,4,6,7,8,9,11; ПК- 1,2,4,6,8,11,12,13,15,17,18 </w:t>
            </w:r>
          </w:p>
        </w:tc>
      </w:tr>
      <w:tr w:rsidR="00086EE0" w:rsidRPr="00BE456A" w:rsidTr="002E5030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E0" w:rsidRPr="00BE456A" w:rsidRDefault="00086EE0" w:rsidP="002E5030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6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E0" w:rsidRPr="00086EE0" w:rsidRDefault="00086EE0" w:rsidP="002E503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E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</w:t>
            </w:r>
            <w:proofErr w:type="spellStart"/>
            <w:r w:rsidRPr="00086EE0">
              <w:rPr>
                <w:rFonts w:ascii="Times New Roman" w:hAnsi="Times New Roman" w:cs="Times New Roman"/>
                <w:sz w:val="24"/>
                <w:szCs w:val="24"/>
              </w:rPr>
              <w:t>ортодонтического</w:t>
            </w:r>
            <w:proofErr w:type="spellEnd"/>
            <w:r w:rsidRPr="00086EE0">
              <w:rPr>
                <w:rFonts w:ascii="Times New Roman" w:hAnsi="Times New Roman" w:cs="Times New Roman"/>
                <w:sz w:val="24"/>
                <w:szCs w:val="24"/>
              </w:rPr>
              <w:t xml:space="preserve"> лечения детей различного  возраста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E0" w:rsidRPr="00086EE0" w:rsidRDefault="00086EE0" w:rsidP="002E503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E0">
              <w:rPr>
                <w:rFonts w:ascii="Times New Roman" w:hAnsi="Times New Roman" w:cs="Times New Roman"/>
                <w:sz w:val="24"/>
                <w:szCs w:val="24"/>
              </w:rPr>
              <w:t xml:space="preserve">ОП-1; ОПК-1,4,6,7,8,9,11; ПК- 1,2,4,6,8,11,12,13,15,17,18 </w:t>
            </w:r>
          </w:p>
        </w:tc>
      </w:tr>
      <w:tr w:rsidR="00086EE0" w:rsidRPr="00BE456A" w:rsidTr="002E5030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E0" w:rsidRPr="00BE456A" w:rsidRDefault="00086EE0" w:rsidP="002E5030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56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E0" w:rsidRPr="00086EE0" w:rsidRDefault="00086EE0" w:rsidP="002E503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EE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в клинике детской челюстно-лицевой хирургии.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E0" w:rsidRPr="00086EE0" w:rsidRDefault="00086EE0" w:rsidP="002E503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E0">
              <w:rPr>
                <w:rFonts w:ascii="Times New Roman" w:hAnsi="Times New Roman" w:cs="Times New Roman"/>
                <w:sz w:val="24"/>
                <w:szCs w:val="24"/>
              </w:rPr>
              <w:t xml:space="preserve">ОП-1; ОПК-1,4,6,7,8,9,10,11; ПК- 1,2,4,6,8,11,12,13,15,17,18 </w:t>
            </w:r>
          </w:p>
        </w:tc>
      </w:tr>
    </w:tbl>
    <w:p w:rsidR="00086EE0" w:rsidRDefault="00086EE0" w:rsidP="00086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EE0" w:rsidRDefault="00086EE0" w:rsidP="00086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EE0" w:rsidRDefault="00086EE0" w:rsidP="00086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EE0" w:rsidRDefault="00086EE0" w:rsidP="00086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EE0" w:rsidRPr="00086EE0" w:rsidRDefault="00086EE0" w:rsidP="00086EE0">
      <w:pPr>
        <w:spacing w:after="0"/>
        <w:ind w:left="10" w:right="273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 На первом месте по частоте поражения у детей 6-ти лет стоят: </w:t>
      </w:r>
    </w:p>
    <w:p w:rsidR="00086EE0" w:rsidRPr="00086EE0" w:rsidRDefault="00086EE0" w:rsidP="00086EE0">
      <w:pPr>
        <w:spacing w:after="0"/>
        <w:ind w:left="10" w:right="665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молочные клыки молочные резцы </w:t>
      </w:r>
      <w:r w:rsidRPr="00086EE0">
        <w:rPr>
          <w:rFonts w:ascii="Times New Roman" w:hAnsi="Times New Roman" w:cs="Times New Roman"/>
          <w:sz w:val="24"/>
          <w:szCs w:val="24"/>
        </w:rPr>
        <w:lastRenderedPageBreak/>
        <w:t xml:space="preserve">молочные моляры постоянные резцы постоянные моляры </w:t>
      </w:r>
    </w:p>
    <w:p w:rsidR="00086EE0" w:rsidRPr="00086EE0" w:rsidRDefault="00086EE0" w:rsidP="00086EE0">
      <w:pPr>
        <w:spacing w:after="0"/>
        <w:ind w:left="10" w:right="1312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Методика лечения постоянных зубов при кариесе в стадии </w:t>
      </w:r>
      <w:proofErr w:type="spellStart"/>
      <w:r w:rsidRPr="00086EE0">
        <w:rPr>
          <w:rFonts w:ascii="Times New Roman" w:hAnsi="Times New Roman" w:cs="Times New Roman"/>
          <w:sz w:val="24"/>
          <w:szCs w:val="24"/>
        </w:rPr>
        <w:t>меловидного</w:t>
      </w:r>
      <w:proofErr w:type="spellEnd"/>
      <w:r w:rsidRPr="00086EE0">
        <w:rPr>
          <w:rFonts w:ascii="Times New Roman" w:hAnsi="Times New Roman" w:cs="Times New Roman"/>
          <w:sz w:val="24"/>
          <w:szCs w:val="24"/>
        </w:rPr>
        <w:t xml:space="preserve"> пятна: препарирование и пломбирование аппликация р-ром фторида натрия аппликация р-ром глюконата кальция импрегнация  р-ром нитрата серебра аппликация р-рами глюконата кальция, затем фторида натрия  </w:t>
      </w:r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 Период « физиологического покоя» для корней молочных зубов длится: </w:t>
      </w:r>
    </w:p>
    <w:p w:rsidR="00086EE0" w:rsidRPr="00086EE0" w:rsidRDefault="00086EE0" w:rsidP="00086EE0">
      <w:pPr>
        <w:spacing w:after="0"/>
        <w:ind w:left="10" w:right="7764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1 год           1,5-2 года </w:t>
      </w:r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2,5-3 года </w:t>
      </w:r>
    </w:p>
    <w:p w:rsidR="00086EE0" w:rsidRPr="00086EE0" w:rsidRDefault="00086EE0" w:rsidP="00086EE0">
      <w:pPr>
        <w:spacing w:after="0"/>
        <w:ind w:left="10" w:right="787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3,5-4 года 4,5-5 лет </w:t>
      </w:r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       4. Шины, фиксирующие фрагменты челюсти,  при переломах у детей рекомендуется снимать не ранее, чем </w:t>
      </w:r>
      <w:proofErr w:type="gramStart"/>
      <w:r w:rsidRPr="00086EE0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086EE0" w:rsidRPr="00086EE0" w:rsidRDefault="00086EE0" w:rsidP="00086EE0">
      <w:pPr>
        <w:tabs>
          <w:tab w:val="center" w:pos="1292"/>
          <w:tab w:val="center" w:pos="3398"/>
          <w:tab w:val="center" w:pos="5515"/>
          <w:tab w:val="center" w:pos="7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ab/>
        <w:t xml:space="preserve">a. 1 неделю      </w:t>
      </w:r>
      <w:r w:rsidRPr="00086EE0">
        <w:rPr>
          <w:rFonts w:ascii="Times New Roman" w:hAnsi="Times New Roman" w:cs="Times New Roman"/>
          <w:sz w:val="24"/>
          <w:szCs w:val="24"/>
        </w:rPr>
        <w:tab/>
        <w:t xml:space="preserve">b. 2 недели        </w:t>
      </w:r>
      <w:r w:rsidRPr="00086EE0">
        <w:rPr>
          <w:rFonts w:ascii="Times New Roman" w:hAnsi="Times New Roman" w:cs="Times New Roman"/>
          <w:sz w:val="24"/>
          <w:szCs w:val="24"/>
        </w:rPr>
        <w:tab/>
        <w:t xml:space="preserve">c. 3 недели       </w:t>
      </w:r>
      <w:r w:rsidRPr="00086EE0">
        <w:rPr>
          <w:rFonts w:ascii="Times New Roman" w:hAnsi="Times New Roman" w:cs="Times New Roman"/>
          <w:sz w:val="24"/>
          <w:szCs w:val="24"/>
        </w:rPr>
        <w:tab/>
        <w:t xml:space="preserve">d. 4 недели </w:t>
      </w:r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            5. При падении на подбородок отраженный перелом нижней челюсти  следует ожидать в области  </w:t>
      </w:r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          a. углов нижней челюсти    b. ветвей нижней челюсти    c. </w:t>
      </w:r>
      <w:proofErr w:type="spellStart"/>
      <w:r w:rsidRPr="00086EE0">
        <w:rPr>
          <w:rFonts w:ascii="Times New Roman" w:hAnsi="Times New Roman" w:cs="Times New Roman"/>
          <w:sz w:val="24"/>
          <w:szCs w:val="24"/>
        </w:rPr>
        <w:t>мыщелковых</w:t>
      </w:r>
      <w:proofErr w:type="spellEnd"/>
      <w:r w:rsidRPr="00086EE0">
        <w:rPr>
          <w:rFonts w:ascii="Times New Roman" w:hAnsi="Times New Roman" w:cs="Times New Roman"/>
          <w:sz w:val="24"/>
          <w:szCs w:val="24"/>
        </w:rPr>
        <w:t xml:space="preserve"> отростков Ответы: 1-c    2-e   3-b   4- d    5-c </w:t>
      </w:r>
    </w:p>
    <w:p w:rsidR="00086EE0" w:rsidRPr="00086EE0" w:rsidRDefault="00086EE0" w:rsidP="00086EE0">
      <w:pPr>
        <w:tabs>
          <w:tab w:val="center" w:pos="708"/>
          <w:tab w:val="center" w:pos="34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ab/>
      </w:r>
      <w:r w:rsidRPr="00086EE0">
        <w:rPr>
          <w:rFonts w:ascii="Times New Roman" w:hAnsi="Times New Roman" w:cs="Times New Roman"/>
          <w:sz w:val="24"/>
          <w:szCs w:val="24"/>
        </w:rPr>
        <w:tab/>
        <w:t xml:space="preserve">СИТУАЦИОННЫЕ ЗАДАЧИ (пример): </w:t>
      </w:r>
    </w:p>
    <w:p w:rsidR="00086EE0" w:rsidRPr="00086EE0" w:rsidRDefault="00086EE0" w:rsidP="00086EE0">
      <w:pPr>
        <w:numPr>
          <w:ilvl w:val="1"/>
          <w:numId w:val="1"/>
        </w:numPr>
        <w:spacing w:after="0" w:line="267" w:lineRule="auto"/>
        <w:ind w:right="97" w:hanging="10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У мальчика 4-х лет при санации полости рта был выявлен множественный кариес с очаговой деминерализацией твердых тканей зуба. ИГ по </w:t>
      </w:r>
      <w:proofErr w:type="spellStart"/>
      <w:r w:rsidRPr="00086EE0">
        <w:rPr>
          <w:rFonts w:ascii="Times New Roman" w:hAnsi="Times New Roman" w:cs="Times New Roman"/>
          <w:sz w:val="24"/>
          <w:szCs w:val="24"/>
        </w:rPr>
        <w:t>Федорову-Володкиной</w:t>
      </w:r>
      <w:proofErr w:type="spellEnd"/>
      <w:r w:rsidRPr="00086EE0">
        <w:rPr>
          <w:rFonts w:ascii="Times New Roman" w:hAnsi="Times New Roman" w:cs="Times New Roman"/>
          <w:sz w:val="24"/>
          <w:szCs w:val="24"/>
        </w:rPr>
        <w:t xml:space="preserve"> = 3,5 балла. </w:t>
      </w:r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Составьте план комплексного лечения. Перечислите  </w:t>
      </w:r>
      <w:proofErr w:type="spellStart"/>
      <w:r w:rsidRPr="00086EE0">
        <w:rPr>
          <w:rFonts w:ascii="Times New Roman" w:hAnsi="Times New Roman" w:cs="Times New Roman"/>
          <w:sz w:val="24"/>
          <w:szCs w:val="24"/>
        </w:rPr>
        <w:t>реминерализирующие</w:t>
      </w:r>
      <w:proofErr w:type="spellEnd"/>
      <w:r w:rsidRPr="00086EE0">
        <w:rPr>
          <w:rFonts w:ascii="Times New Roman" w:hAnsi="Times New Roman" w:cs="Times New Roman"/>
          <w:sz w:val="24"/>
          <w:szCs w:val="24"/>
        </w:rPr>
        <w:t xml:space="preserve"> средства, необходимые для лечения ОД эмали. Подберите предметы и средства гигиены полости рта. </w:t>
      </w:r>
    </w:p>
    <w:p w:rsidR="00086EE0" w:rsidRPr="00086EE0" w:rsidRDefault="00086EE0" w:rsidP="00086EE0">
      <w:pPr>
        <w:numPr>
          <w:ilvl w:val="1"/>
          <w:numId w:val="1"/>
        </w:numPr>
        <w:spacing w:after="0" w:line="267" w:lineRule="auto"/>
        <w:ind w:right="97" w:hanging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EE0">
        <w:rPr>
          <w:rFonts w:ascii="Times New Roman" w:hAnsi="Times New Roman" w:cs="Times New Roman"/>
          <w:sz w:val="24"/>
          <w:szCs w:val="24"/>
        </w:rPr>
        <w:t>В клинику обратилась  пациентка  с жалобой на  отсутствие фронтальной группы зубов  на нижней и верхней челюстях.</w:t>
      </w:r>
      <w:proofErr w:type="gramEnd"/>
      <w:r w:rsidRPr="00086EE0">
        <w:rPr>
          <w:rFonts w:ascii="Times New Roman" w:hAnsi="Times New Roman" w:cs="Times New Roman"/>
          <w:sz w:val="24"/>
          <w:szCs w:val="24"/>
        </w:rPr>
        <w:t xml:space="preserve"> Проведен осмотр полости рта,  </w:t>
      </w:r>
      <w:proofErr w:type="gramStart"/>
      <w:r w:rsidRPr="00086EE0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086EE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86EE0">
        <w:rPr>
          <w:rFonts w:ascii="Times New Roman" w:hAnsi="Times New Roman" w:cs="Times New Roman"/>
          <w:sz w:val="24"/>
          <w:szCs w:val="24"/>
        </w:rPr>
        <w:t>ортопантомограмму</w:t>
      </w:r>
      <w:proofErr w:type="spellEnd"/>
    </w:p>
    <w:p w:rsidR="00086EE0" w:rsidRPr="00086EE0" w:rsidRDefault="00086EE0" w:rsidP="00086EE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76450" cy="1543050"/>
            <wp:effectExtent l="19050" t="0" r="0" b="0"/>
            <wp:docPr id="1" name="Picture 226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78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Проведите анализ данной </w:t>
      </w:r>
      <w:proofErr w:type="spellStart"/>
      <w:r w:rsidRPr="00086EE0">
        <w:rPr>
          <w:rFonts w:ascii="Times New Roman" w:hAnsi="Times New Roman" w:cs="Times New Roman"/>
          <w:sz w:val="24"/>
          <w:szCs w:val="24"/>
        </w:rPr>
        <w:t>ортопантомограммы</w:t>
      </w:r>
      <w:proofErr w:type="spellEnd"/>
      <w:proofErr w:type="gramStart"/>
      <w:r w:rsidRPr="00086EE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86EE0">
        <w:rPr>
          <w:rFonts w:ascii="Times New Roman" w:hAnsi="Times New Roman" w:cs="Times New Roman"/>
          <w:sz w:val="24"/>
          <w:szCs w:val="24"/>
        </w:rPr>
        <w:t xml:space="preserve"> Укажите  имеющиеся аномалии зубов. </w:t>
      </w:r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 xml:space="preserve">Поставьте диагноз. Составьте план комплексного лечения.  </w:t>
      </w:r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t>В полном объеме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программы, а также методические материалы, определяющие процедуры оценивания знаний, умений, навыков и (или) опыта деятельности,  характеризующих этапы формирования компетенций, представлены в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86EE0">
        <w:rPr>
          <w:rFonts w:ascii="Times New Roman" w:hAnsi="Times New Roman" w:cs="Times New Roman"/>
          <w:sz w:val="24"/>
          <w:szCs w:val="24"/>
        </w:rPr>
        <w:t xml:space="preserve">методическом комплексе модуля. </w:t>
      </w:r>
    </w:p>
    <w:p w:rsidR="00086EE0" w:rsidRPr="00086EE0" w:rsidRDefault="00086EE0" w:rsidP="00086EE0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86EE0">
        <w:rPr>
          <w:rFonts w:ascii="Times New Roman" w:hAnsi="Times New Roman" w:cs="Times New Roman"/>
          <w:sz w:val="24"/>
          <w:szCs w:val="24"/>
        </w:rPr>
        <w:lastRenderedPageBreak/>
        <w:t xml:space="preserve">Промежуточная  аттестация  по модулю дисциплины выбора «Современные технологии в детской стоматологии» не предусмотрена основной образовательной программой и учебным планом. Для аттестации успеваемости студентов по данному модулю используется балльно-рейтинговая система (модель 2). При этой модели результат работы на каждом практическом занятии оценивается с помощью оценочных средств. Помимо среднего балла учитываются показатели, дающие штрафы и бонусы. Штрафы накладываются за нарушение дисциплины. Бонусы присуждаются за участие в СНО кафедры. </w:t>
      </w:r>
    </w:p>
    <w:p w:rsidR="00086EE0" w:rsidRPr="00086EE0" w:rsidRDefault="00086EE0" w:rsidP="00086EE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EE0" w:rsidRPr="00086EE0" w:rsidRDefault="00086EE0" w:rsidP="00086EE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EE0" w:rsidRPr="00086EE0" w:rsidRDefault="00086EE0" w:rsidP="00086EE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EE0" w:rsidRPr="00086EE0" w:rsidRDefault="00086EE0" w:rsidP="00086EE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EE0" w:rsidRPr="00086EE0" w:rsidRDefault="00086EE0" w:rsidP="00086EE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EE0" w:rsidRPr="00086EE0" w:rsidRDefault="00086EE0" w:rsidP="00086EE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EE0" w:rsidRPr="00086EE0" w:rsidRDefault="00086EE0" w:rsidP="00086EE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EE0" w:rsidRPr="00086EE0" w:rsidRDefault="00086EE0" w:rsidP="00086EE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EE0" w:rsidRPr="00086EE0" w:rsidRDefault="00086EE0" w:rsidP="00086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86EE0" w:rsidRPr="00086EE0" w:rsidSect="00126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6051E"/>
    <w:multiLevelType w:val="hybridMultilevel"/>
    <w:tmpl w:val="DD0A5E76"/>
    <w:lvl w:ilvl="0" w:tplc="46661F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F02D7E">
      <w:start w:val="1"/>
      <w:numFmt w:val="decimal"/>
      <w:lvlText w:val="%2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273C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D8CB5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7CA8B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A6984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86442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72612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CB61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EE0"/>
    <w:rsid w:val="00086EE0"/>
    <w:rsid w:val="000F0431"/>
    <w:rsid w:val="0012659A"/>
    <w:rsid w:val="005D669B"/>
    <w:rsid w:val="00635B58"/>
    <w:rsid w:val="00B77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E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1400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HP</cp:lastModifiedBy>
  <cp:revision>6</cp:revision>
  <dcterms:created xsi:type="dcterms:W3CDTF">2017-09-29T12:45:00Z</dcterms:created>
  <dcterms:modified xsi:type="dcterms:W3CDTF">2023-07-06T14:32:00Z</dcterms:modified>
</cp:coreProperties>
</file>