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AD5" w:rsidRPr="007C3AD5" w:rsidRDefault="007C3AD5" w:rsidP="007C3AD5">
      <w:pPr>
        <w:spacing w:after="0" w:line="240" w:lineRule="auto"/>
        <w:ind w:left="426"/>
        <w:rPr>
          <w:rFonts w:ascii="Times New Roman" w:hAnsi="Times New Roman"/>
          <w:b/>
          <w:color w:val="auto"/>
          <w:sz w:val="28"/>
          <w:szCs w:val="28"/>
        </w:rPr>
      </w:pPr>
      <w:r w:rsidRPr="007C3AD5">
        <w:rPr>
          <w:rFonts w:ascii="Times New Roman" w:hAnsi="Times New Roman"/>
          <w:b/>
          <w:color w:val="auto"/>
          <w:sz w:val="28"/>
          <w:szCs w:val="28"/>
        </w:rPr>
        <w:t>ПЯТИГОРСКИЙ МЕДИКО-ФАРМАЦЕВТИЧЕСКИЙ ИНСТИТУТ –</w:t>
      </w:r>
    </w:p>
    <w:p w:rsidR="007C3AD5" w:rsidRPr="007C3AD5" w:rsidRDefault="007C3AD5" w:rsidP="007C3AD5">
      <w:pPr>
        <w:spacing w:after="0" w:line="240" w:lineRule="auto"/>
        <w:ind w:left="567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7C3AD5">
        <w:rPr>
          <w:rFonts w:ascii="Times New Roman" w:hAnsi="Times New Roman"/>
          <w:color w:val="auto"/>
          <w:sz w:val="28"/>
          <w:szCs w:val="28"/>
        </w:rPr>
        <w:t>филиал федерального государственного бюджетного образовательного учреждения высшего образования</w:t>
      </w:r>
    </w:p>
    <w:p w:rsidR="007C3AD5" w:rsidRPr="007C3AD5" w:rsidRDefault="007C3AD5" w:rsidP="007C3AD5">
      <w:pPr>
        <w:spacing w:after="0" w:line="240" w:lineRule="auto"/>
        <w:ind w:left="567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7C3AD5">
        <w:rPr>
          <w:rFonts w:ascii="Times New Roman" w:hAnsi="Times New Roman"/>
          <w:b/>
          <w:color w:val="auto"/>
          <w:sz w:val="28"/>
          <w:szCs w:val="28"/>
        </w:rPr>
        <w:t>«ВОЛГОГРАДСКИЙ ГОСУДАРСТВЕННЫЙ</w:t>
      </w:r>
    </w:p>
    <w:p w:rsidR="007C3AD5" w:rsidRPr="007C3AD5" w:rsidRDefault="007C3AD5" w:rsidP="007C3AD5">
      <w:pPr>
        <w:spacing w:after="0" w:line="240" w:lineRule="auto"/>
        <w:ind w:left="567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7C3AD5">
        <w:rPr>
          <w:rFonts w:ascii="Times New Roman" w:hAnsi="Times New Roman"/>
          <w:b/>
          <w:color w:val="auto"/>
          <w:sz w:val="28"/>
          <w:szCs w:val="28"/>
        </w:rPr>
        <w:t>МЕДИЦИНСКИЙ УНИВЕРСИТЕТ»</w:t>
      </w:r>
    </w:p>
    <w:p w:rsidR="007C3AD5" w:rsidRPr="007C3AD5" w:rsidRDefault="007C3AD5" w:rsidP="007C3AD5">
      <w:pPr>
        <w:spacing w:after="0" w:line="240" w:lineRule="auto"/>
        <w:ind w:left="567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7C3AD5">
        <w:rPr>
          <w:rFonts w:ascii="Times New Roman" w:hAnsi="Times New Roman"/>
          <w:color w:val="auto"/>
          <w:sz w:val="28"/>
          <w:szCs w:val="28"/>
        </w:rPr>
        <w:t>Министерства здравоохранения Российской Федерации</w:t>
      </w:r>
    </w:p>
    <w:p w:rsidR="007C3AD5" w:rsidRPr="007C3AD5" w:rsidRDefault="007C3AD5" w:rsidP="007C3AD5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7C3AD5">
        <w:rPr>
          <w:rFonts w:ascii="Times New Roman" w:hAnsi="Times New Roman"/>
          <w:color w:val="auto"/>
          <w:sz w:val="28"/>
          <w:szCs w:val="28"/>
        </w:rPr>
        <w:tab/>
      </w:r>
    </w:p>
    <w:p w:rsidR="007C3AD5" w:rsidRPr="007C3AD5" w:rsidRDefault="007C3AD5" w:rsidP="007C3AD5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7C3AD5" w:rsidRPr="007C3AD5" w:rsidRDefault="007C3AD5" w:rsidP="007C3AD5">
      <w:pPr>
        <w:shd w:val="clear" w:color="auto" w:fill="FFFFFF"/>
        <w:tabs>
          <w:tab w:val="left" w:pos="142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7C3AD5">
        <w:rPr>
          <w:rFonts w:ascii="Times New Roman" w:hAnsi="Times New Roman"/>
          <w:sz w:val="28"/>
          <w:szCs w:val="28"/>
        </w:rPr>
        <w:t>УТВЕРЖДАЮ</w:t>
      </w:r>
    </w:p>
    <w:p w:rsidR="007C3AD5" w:rsidRPr="007C3AD5" w:rsidRDefault="007C3AD5" w:rsidP="007C3AD5">
      <w:pPr>
        <w:shd w:val="clear" w:color="auto" w:fill="FFFFFF"/>
        <w:tabs>
          <w:tab w:val="left" w:pos="142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7C3AD5">
        <w:rPr>
          <w:rFonts w:ascii="Times New Roman" w:hAnsi="Times New Roman"/>
          <w:sz w:val="28"/>
          <w:szCs w:val="28"/>
        </w:rPr>
        <w:t>Заместитель директора по УВР</w:t>
      </w:r>
    </w:p>
    <w:p w:rsidR="007C3AD5" w:rsidRPr="007C3AD5" w:rsidRDefault="007C3AD5" w:rsidP="007C3AD5">
      <w:pPr>
        <w:shd w:val="clear" w:color="auto" w:fill="FFFFFF"/>
        <w:tabs>
          <w:tab w:val="left" w:pos="142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7C3AD5" w:rsidRPr="007C3AD5" w:rsidRDefault="007C3AD5" w:rsidP="007C3AD5">
      <w:pPr>
        <w:shd w:val="clear" w:color="auto" w:fill="FFFFFF"/>
        <w:tabs>
          <w:tab w:val="left" w:pos="142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7C3AD5">
        <w:rPr>
          <w:rFonts w:ascii="Times New Roman" w:hAnsi="Times New Roman"/>
          <w:sz w:val="28"/>
          <w:szCs w:val="28"/>
        </w:rPr>
        <w:t>_______________М.В. Черников</w:t>
      </w:r>
    </w:p>
    <w:p w:rsidR="007C3AD5" w:rsidRPr="007C3AD5" w:rsidRDefault="007C3AD5" w:rsidP="007C3AD5">
      <w:pPr>
        <w:tabs>
          <w:tab w:val="left" w:pos="142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7C3AD5">
        <w:rPr>
          <w:rFonts w:ascii="Times New Roman" w:hAnsi="Times New Roman"/>
          <w:sz w:val="28"/>
          <w:szCs w:val="28"/>
        </w:rPr>
        <w:t>«31» августа 2022 г.</w:t>
      </w:r>
    </w:p>
    <w:p w:rsidR="007C3AD5" w:rsidRPr="007C3AD5" w:rsidRDefault="007C3AD5" w:rsidP="007C3AD5">
      <w:pPr>
        <w:widowControl w:val="0"/>
        <w:autoSpaceDE w:val="0"/>
        <w:autoSpaceDN w:val="0"/>
        <w:adjustRightInd w:val="0"/>
        <w:spacing w:after="120" w:line="240" w:lineRule="auto"/>
        <w:ind w:left="283"/>
        <w:jc w:val="center"/>
        <w:rPr>
          <w:rFonts w:ascii="Times New Roman" w:hAnsi="Times New Roman"/>
          <w:sz w:val="28"/>
          <w:szCs w:val="28"/>
        </w:rPr>
      </w:pPr>
    </w:p>
    <w:p w:rsidR="000B0C8D" w:rsidRDefault="000B0C8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B0C8D" w:rsidRDefault="00B7164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ФОНД ОЦЕНОЧНЫХ СРЕДСТВ</w:t>
      </w:r>
    </w:p>
    <w:p w:rsidR="000B0C8D" w:rsidRDefault="00B7164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ДЛЯ ПРОВЕДЕНИЯ ТЕКУЩЕЙ И ПРОМЕЖУТОЧНОЙ АТТЕСТАЦИИ</w:t>
      </w:r>
    </w:p>
    <w:p w:rsidR="000B0C8D" w:rsidRDefault="00B7164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ОБУЧАЮЩИХСЯ ПО ДИСЦИПЛИНЕ</w:t>
      </w:r>
    </w:p>
    <w:p w:rsidR="000B0C8D" w:rsidRDefault="00B7164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«Имплантология и реконструктивная хирур</w:t>
      </w:r>
      <w:r>
        <w:rPr>
          <w:rFonts w:ascii="Times New Roman" w:hAnsi="Times New Roman"/>
          <w:b/>
          <w:sz w:val="24"/>
        </w:rPr>
        <w:t>гия полости рта»</w:t>
      </w:r>
    </w:p>
    <w:p w:rsidR="000B0C8D" w:rsidRDefault="000B0C8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B0C8D" w:rsidRDefault="000B0C8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bookmarkStart w:id="0" w:name="_GoBack"/>
      <w:bookmarkEnd w:id="0"/>
    </w:p>
    <w:p w:rsidR="000B0C8D" w:rsidRDefault="00B7164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специальности: </w:t>
      </w:r>
      <w:r>
        <w:rPr>
          <w:rFonts w:ascii="Times New Roman" w:hAnsi="Times New Roman"/>
          <w:i/>
          <w:sz w:val="24"/>
        </w:rPr>
        <w:t xml:space="preserve">31.05.03 Стоматология </w:t>
      </w:r>
      <w:r>
        <w:rPr>
          <w:rFonts w:ascii="Times New Roman" w:hAnsi="Times New Roman"/>
          <w:sz w:val="24"/>
        </w:rPr>
        <w:t>(уровень специалитета)</w:t>
      </w:r>
    </w:p>
    <w:p w:rsidR="000B0C8D" w:rsidRDefault="00B7164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Квалификация выпускника: </w:t>
      </w:r>
      <w:r>
        <w:rPr>
          <w:rFonts w:ascii="Times New Roman" w:hAnsi="Times New Roman"/>
          <w:i/>
          <w:sz w:val="24"/>
        </w:rPr>
        <w:t>врач-стоматолог</w:t>
      </w:r>
    </w:p>
    <w:p w:rsidR="000B0C8D" w:rsidRDefault="00B7164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Кафедра: </w:t>
      </w:r>
      <w:r>
        <w:rPr>
          <w:rFonts w:ascii="Times New Roman" w:hAnsi="Times New Roman"/>
          <w:i/>
          <w:sz w:val="24"/>
        </w:rPr>
        <w:t>клинической стоматологии с курсом хирургической стоматологии и ЧЛХ</w:t>
      </w:r>
    </w:p>
    <w:p w:rsidR="000B0C8D" w:rsidRDefault="000B0C8D">
      <w:pPr>
        <w:spacing w:after="0" w:line="240" w:lineRule="auto"/>
        <w:rPr>
          <w:rFonts w:ascii="Times New Roman" w:hAnsi="Times New Roman"/>
          <w:sz w:val="24"/>
        </w:rPr>
      </w:pPr>
    </w:p>
    <w:p w:rsidR="000B0C8D" w:rsidRDefault="00B7164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Курс –IV</w:t>
      </w:r>
    </w:p>
    <w:p w:rsidR="000B0C8D" w:rsidRDefault="00B7164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Семестр – 8</w:t>
      </w:r>
    </w:p>
    <w:p w:rsidR="000B0C8D" w:rsidRDefault="00B7164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 обучения - очная</w:t>
      </w:r>
    </w:p>
    <w:p w:rsidR="000B0C8D" w:rsidRDefault="00B7164A">
      <w:pPr>
        <w:spacing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Трудоемкость дисциплины: 3 ЗЕ, из них 56 часов контактной работы обучающегося с преподавателем</w:t>
      </w:r>
    </w:p>
    <w:p w:rsidR="000B0C8D" w:rsidRDefault="00B7164A">
      <w:pPr>
        <w:spacing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Промежуточная аттестация: зачет – 8 семестр</w:t>
      </w:r>
    </w:p>
    <w:p w:rsidR="000B0C8D" w:rsidRDefault="000B0C8D">
      <w:pPr>
        <w:spacing w:after="120"/>
        <w:ind w:left="2832" w:firstLine="708"/>
        <w:rPr>
          <w:rFonts w:ascii="Times New Roman" w:hAnsi="Times New Roman"/>
          <w:sz w:val="24"/>
        </w:rPr>
      </w:pPr>
    </w:p>
    <w:p w:rsidR="000B0C8D" w:rsidRDefault="000B0C8D">
      <w:pPr>
        <w:spacing w:after="0" w:line="240" w:lineRule="auto"/>
        <w:rPr>
          <w:rFonts w:ascii="Times New Roman" w:hAnsi="Times New Roman"/>
          <w:sz w:val="24"/>
        </w:rPr>
      </w:pPr>
    </w:p>
    <w:p w:rsidR="000B0C8D" w:rsidRDefault="000B0C8D">
      <w:pPr>
        <w:spacing w:after="0" w:line="240" w:lineRule="auto"/>
        <w:rPr>
          <w:rFonts w:ascii="Times New Roman" w:hAnsi="Times New Roman"/>
          <w:sz w:val="24"/>
        </w:rPr>
      </w:pPr>
    </w:p>
    <w:p w:rsidR="000B0C8D" w:rsidRDefault="000B0C8D">
      <w:pPr>
        <w:spacing w:after="0" w:line="240" w:lineRule="auto"/>
        <w:rPr>
          <w:rFonts w:ascii="Times New Roman" w:hAnsi="Times New Roman"/>
          <w:sz w:val="24"/>
        </w:rPr>
      </w:pPr>
    </w:p>
    <w:p w:rsidR="000B0C8D" w:rsidRDefault="000B0C8D">
      <w:pPr>
        <w:spacing w:after="0" w:line="240" w:lineRule="auto"/>
        <w:rPr>
          <w:rFonts w:ascii="Times New Roman" w:hAnsi="Times New Roman"/>
          <w:sz w:val="24"/>
        </w:rPr>
      </w:pPr>
    </w:p>
    <w:p w:rsidR="000B0C8D" w:rsidRDefault="000B0C8D">
      <w:pPr>
        <w:spacing w:after="0" w:line="240" w:lineRule="auto"/>
        <w:rPr>
          <w:rFonts w:ascii="Times New Roman" w:hAnsi="Times New Roman"/>
          <w:sz w:val="24"/>
        </w:rPr>
      </w:pPr>
    </w:p>
    <w:p w:rsidR="000B0C8D" w:rsidRDefault="000B0C8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B0C8D" w:rsidRDefault="00B7164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Пятигорск, 202</w:t>
      </w:r>
      <w:r w:rsidR="007C3AD5">
        <w:rPr>
          <w:rFonts w:ascii="Times New Roman" w:hAnsi="Times New Roman"/>
          <w:sz w:val="24"/>
        </w:rPr>
        <w:t>2</w:t>
      </w:r>
    </w:p>
    <w:p w:rsidR="000B0C8D" w:rsidRDefault="000B0C8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0B0C8D" w:rsidRDefault="00B7164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РАЗРАБОТЧИКИ: Заведуюшийкафедрой клинической   стоматологии с курсом хирургической стомато</w:t>
      </w:r>
      <w:r>
        <w:rPr>
          <w:rFonts w:ascii="Times New Roman" w:hAnsi="Times New Roman"/>
          <w:b/>
          <w:sz w:val="24"/>
        </w:rPr>
        <w:t>логии и ЧЛХ,  д.м.н, профессор Слетов А.А</w:t>
      </w:r>
    </w:p>
    <w:p w:rsidR="000B0C8D" w:rsidRDefault="00B7164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Профессор кафедры клинической стоматологии с курсом хирургической стоматологии и ЧЛХ, д.м.н. Юсупов Р.Д.</w:t>
      </w:r>
    </w:p>
    <w:p w:rsidR="000B0C8D" w:rsidRDefault="00B7164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Доцент кафедры клинической стоматологии с курсом хирургической стоматологии и ЧЛХ, к.м.н., Кленкина Е.И.</w:t>
      </w:r>
    </w:p>
    <w:p w:rsidR="000B0C8D" w:rsidRDefault="00B7164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sz w:val="24"/>
        </w:rPr>
        <w:t xml:space="preserve">РЕЦЕНЗЕНТ: профессор кафедры стоматологии общей практики и детской стоматологии ФГБОУ ВО «Ставропольский государственный медицинский университет» Минздрава России, д.м.н., доцент Доменюк </w:t>
      </w:r>
      <w:r>
        <w:rPr>
          <w:rFonts w:ascii="Times New Roman" w:hAnsi="Times New Roman"/>
          <w:b/>
          <w:color w:val="000000" w:themeColor="text1"/>
          <w:sz w:val="24"/>
        </w:rPr>
        <w:t>Д.А.</w:t>
      </w:r>
    </w:p>
    <w:p w:rsidR="000B0C8D" w:rsidRDefault="000B0C8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0B0C8D" w:rsidRDefault="00B7164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В рамках дисциплины формируются следующие компетен</w:t>
      </w:r>
      <w:r>
        <w:rPr>
          <w:rFonts w:ascii="Times New Roman" w:hAnsi="Times New Roman"/>
          <w:b/>
          <w:sz w:val="24"/>
        </w:rPr>
        <w:t>ции, подлежащ</w:t>
      </w:r>
      <w:r>
        <w:rPr>
          <w:rFonts w:ascii="Times New Roman" w:hAnsi="Times New Roman"/>
          <w:b/>
          <w:sz w:val="24"/>
        </w:rPr>
        <w:t>ие оценке настоящим ФОС:</w:t>
      </w:r>
    </w:p>
    <w:p w:rsidR="000B0C8D" w:rsidRDefault="00B7164A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Способен осуществлять критический анализ проблемных ситуаций на основе системного подхода, вырабатывать стратегию действий (УК-1): </w:t>
      </w:r>
    </w:p>
    <w:p w:rsidR="000B0C8D" w:rsidRDefault="00B7164A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Способен управлять проектом на всех этапах его жизненного цикла (УК-2); </w:t>
      </w:r>
    </w:p>
    <w:p w:rsidR="000B0C8D" w:rsidRDefault="00B7164A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Способен</w:t>
      </w:r>
      <w:r>
        <w:rPr>
          <w:rFonts w:ascii="Times New Roman" w:hAnsi="Times New Roman"/>
        </w:rPr>
        <w:t xml:space="preserve"> формировать нетерпимое отношение к коррупционному поведению (УК-11); </w:t>
      </w:r>
    </w:p>
    <w:p w:rsidR="000B0C8D" w:rsidRDefault="00B7164A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Выпускник, освоивший программу специалитета, должен обладать следующими  общепрофессиональными компетенциями (ОПК): </w:t>
      </w:r>
    </w:p>
    <w:p w:rsidR="000B0C8D" w:rsidRDefault="00B7164A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Способен реализовывать моральные и правовые нормы, этические и деонт</w:t>
      </w:r>
      <w:r>
        <w:rPr>
          <w:rFonts w:ascii="Times New Roman" w:hAnsi="Times New Roman"/>
        </w:rPr>
        <w:t xml:space="preserve">ологические принципы в профессиональной деятельности (ОПК-1); </w:t>
      </w:r>
    </w:p>
    <w:p w:rsidR="000B0C8D" w:rsidRDefault="00B7164A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Способен проводить обследование пациента с целью установления диагноза при решении профессиональных задач (ОПК-5);</w:t>
      </w:r>
    </w:p>
    <w:p w:rsidR="000B0C8D" w:rsidRDefault="00B7164A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Способен назначать, осуществлять контроль эффективности и безопасности немедик</w:t>
      </w:r>
      <w:r>
        <w:rPr>
          <w:rFonts w:ascii="Times New Roman" w:hAnsi="Times New Roman"/>
        </w:rPr>
        <w:t xml:space="preserve">аментозного и медикаментозного лечения при решении профессиональных задач (ОПК-6); </w:t>
      </w:r>
    </w:p>
    <w:p w:rsidR="000B0C8D" w:rsidRDefault="00B7164A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Способен использовать основные физико-химические, математические и естественно-научные понятия и методы при решении профессиональных задач (ОПК-8);</w:t>
      </w:r>
    </w:p>
    <w:p w:rsidR="000B0C8D" w:rsidRDefault="00B7164A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Способен оценивать морфо</w:t>
      </w:r>
      <w:r>
        <w:rPr>
          <w:rFonts w:ascii="Times New Roman" w:hAnsi="Times New Roman"/>
        </w:rPr>
        <w:t>функциональные состояния и патологические процессы в организме человека для решения профессиональных задач(ОПК-9);</w:t>
      </w:r>
    </w:p>
    <w:p w:rsidR="000B0C8D" w:rsidRDefault="00B7164A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Способен реализовывать и осуществлять контроль эффективности медицинской реабилитации стоматологического пациента(ОПК-12);</w:t>
      </w:r>
    </w:p>
    <w:p w:rsidR="000B0C8D" w:rsidRDefault="00B7164A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Способен понимать </w:t>
      </w:r>
      <w:r>
        <w:rPr>
          <w:rFonts w:ascii="Times New Roman" w:hAnsi="Times New Roman"/>
        </w:rPr>
        <w:t>принципы работы современных информационных технологий и использовать их для решений задач профессиональной деятельности(ОПК-13).</w:t>
      </w:r>
    </w:p>
    <w:p w:rsidR="000B0C8D" w:rsidRDefault="00B7164A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Выпускник, освоивший программу специалитета, должен обладать профессиональными компетенциями (ПК), соответствующими виду (вида</w:t>
      </w:r>
      <w:r>
        <w:rPr>
          <w:rFonts w:ascii="Times New Roman" w:hAnsi="Times New Roman"/>
        </w:rPr>
        <w:t xml:space="preserve">м) профессиональной деятельности, на который (которые) ориентирована программа специалитета: профилактическая деятельность: </w:t>
      </w:r>
    </w:p>
    <w:p w:rsidR="000B0C8D" w:rsidRDefault="00B7164A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Способен к проведению диагностики у детей и взрослых со стоматологическими заболеваниями, установлению диагноза путем сбора и анали</w:t>
      </w:r>
      <w:r>
        <w:rPr>
          <w:rFonts w:ascii="Times New Roman" w:hAnsi="Times New Roman"/>
        </w:rPr>
        <w:t>за жалоб, данных анамнеза, результатов осмотра, лабораторных, инструментальных и иных исследований с целью установления факта наличия или отсутствия стоматологического заболевания и неотложных состояний в соответствии с Международной статистической классиф</w:t>
      </w:r>
      <w:r>
        <w:rPr>
          <w:rFonts w:ascii="Times New Roman" w:hAnsi="Times New Roman"/>
        </w:rPr>
        <w:t xml:space="preserve">икацией болезней (ПК-1); </w:t>
      </w:r>
    </w:p>
    <w:p w:rsidR="000B0C8D" w:rsidRDefault="00B7164A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Способен к назначению и проведению лечения детей и взрослых со стоматологическими заболеваниями, контролю его эффективности и безопасности(ПК-2);</w:t>
      </w:r>
    </w:p>
    <w:p w:rsidR="000B0C8D" w:rsidRDefault="000B0C8D">
      <w:pPr>
        <w:spacing w:after="0" w:line="264" w:lineRule="auto"/>
        <w:ind w:right="97"/>
        <w:jc w:val="both"/>
        <w:rPr>
          <w:rFonts w:ascii="Times New Roman" w:hAnsi="Times New Roman"/>
          <w:sz w:val="24"/>
        </w:rPr>
      </w:pPr>
    </w:p>
    <w:p w:rsidR="000B0C8D" w:rsidRDefault="000B0C8D">
      <w:pPr>
        <w:spacing w:after="0" w:line="264" w:lineRule="auto"/>
        <w:ind w:right="97"/>
        <w:jc w:val="both"/>
        <w:rPr>
          <w:rFonts w:ascii="Times New Roman" w:hAnsi="Times New Roman"/>
          <w:sz w:val="24"/>
        </w:rPr>
      </w:pPr>
    </w:p>
    <w:p w:rsidR="000B0C8D" w:rsidRDefault="000B0C8D">
      <w:pPr>
        <w:spacing w:after="0" w:line="264" w:lineRule="auto"/>
        <w:ind w:right="97"/>
        <w:jc w:val="both"/>
        <w:rPr>
          <w:rFonts w:ascii="Times New Roman" w:hAnsi="Times New Roman"/>
          <w:sz w:val="24"/>
        </w:rPr>
      </w:pPr>
    </w:p>
    <w:p w:rsidR="000B0C8D" w:rsidRDefault="00B7164A">
      <w:pPr>
        <w:spacing w:after="0"/>
        <w:ind w:left="10" w:right="9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ВОПРОСЫ К ЗАЧЕТУ:</w:t>
      </w:r>
    </w:p>
    <w:tbl>
      <w:tblPr>
        <w:tblW w:w="0" w:type="auto"/>
        <w:tblInd w:w="-108" w:type="dxa"/>
        <w:tblLayout w:type="fixed"/>
        <w:tblCellMar>
          <w:top w:w="7" w:type="dxa"/>
          <w:right w:w="51" w:type="dxa"/>
        </w:tblCellMar>
        <w:tblLook w:val="04A0"/>
      </w:tblPr>
      <w:tblGrid>
        <w:gridCol w:w="816"/>
        <w:gridCol w:w="5564"/>
        <w:gridCol w:w="3193"/>
      </w:tblGrid>
      <w:tr w:rsidR="000B0C8D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0B0C8D" w:rsidRDefault="00B7164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0B0C8D" w:rsidRDefault="00B7164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Вопросы для текущей аттестации и к рубежному контролю успеваемости студента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0B0C8D" w:rsidRDefault="00B7164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Проверяемые компетенции </w:t>
            </w:r>
          </w:p>
        </w:tc>
      </w:tr>
      <w:tr w:rsidR="000B0C8D">
        <w:trPr>
          <w:trHeight w:val="5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0B0C8D" w:rsidRDefault="00B7164A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0B0C8D" w:rsidRDefault="00B7164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 становления, современное состояние и перспективы развития стоматологической (дентальной) имплантации. Возможности реабилитации пациентов при п</w:t>
            </w:r>
            <w:r>
              <w:rPr>
                <w:rFonts w:ascii="Times New Roman" w:hAnsi="Times New Roman"/>
                <w:sz w:val="24"/>
              </w:rPr>
              <w:t xml:space="preserve">омощи дентальных имплантатов. Юридические аспекты дентальной имплантации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0B0C8D" w:rsidRDefault="00B7164A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УК-1, УК-2, УК-11,ОПК-1, ОПК-5, ОПК-6, ОПК-8, ОПК-9, ОПК-12, ОПК-13,</w:t>
            </w:r>
          </w:p>
          <w:p w:rsidR="000B0C8D" w:rsidRDefault="00B7164A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ПК-1, ПК-2.</w:t>
            </w:r>
          </w:p>
        </w:tc>
      </w:tr>
      <w:tr w:rsidR="000B0C8D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0B0C8D" w:rsidRDefault="00B7164A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0B0C8D" w:rsidRDefault="00B7164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Теоретическое обоснование метода дентальной имплантации. Анатомические предпосылки к проведению дентальной имплантации.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0B0C8D" w:rsidRDefault="00B7164A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УК-1, УК-2, УК-11,ОПК-1, ОПК-5, ОПК-6, ОПК-8, ОПК-9, ОПК-12, ОПК-13,</w:t>
            </w:r>
          </w:p>
          <w:p w:rsidR="000B0C8D" w:rsidRDefault="00B7164A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ПК-1, ПК-2.</w:t>
            </w:r>
          </w:p>
        </w:tc>
      </w:tr>
      <w:tr w:rsidR="000B0C8D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0B0C8D" w:rsidRDefault="00B7164A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0B0C8D" w:rsidRDefault="00B7164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Феномен остеоинтеграции, факторы</w:t>
            </w:r>
            <w:r>
              <w:rPr>
                <w:rFonts w:ascii="Times New Roman" w:hAnsi="Times New Roman"/>
                <w:sz w:val="24"/>
              </w:rPr>
              <w:t xml:space="preserve"> влияющие на оптимизацию этого процесса.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0B0C8D" w:rsidRDefault="00B7164A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УК-1, УК-2, УК-11,ОПК-1, ОПК-5, ОПК-6, ОПК-8, ОПК-9, ОПК-12, ОПК-13,</w:t>
            </w:r>
          </w:p>
          <w:p w:rsidR="000B0C8D" w:rsidRDefault="00B7164A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ПК-1, ПК-2.</w:t>
            </w:r>
          </w:p>
        </w:tc>
      </w:tr>
      <w:tr w:rsidR="000B0C8D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0B0C8D" w:rsidRDefault="00B7164A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0B0C8D" w:rsidRDefault="00B7164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Показания и противопоказания стоматологической реабилитации с помощью дентальных имплантатов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0B0C8D" w:rsidRDefault="00B7164A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УК-1, УК-2, УК-11,ОПК-1, ОПК-5, ОПК</w:t>
            </w:r>
            <w:r>
              <w:rPr>
                <w:rFonts w:ascii="Times New Roman" w:hAnsi="Times New Roman"/>
                <w:sz w:val="24"/>
              </w:rPr>
              <w:t>-6, ОПК-8, ОПК-9, ОПК-12, ОПК-13,</w:t>
            </w:r>
          </w:p>
          <w:p w:rsidR="000B0C8D" w:rsidRDefault="00B7164A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ПК-1, ПК-2.</w:t>
            </w:r>
          </w:p>
        </w:tc>
      </w:tr>
      <w:tr w:rsidR="000B0C8D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0B0C8D" w:rsidRDefault="00B7164A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0B0C8D" w:rsidRDefault="00B7164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Диагностика и планирование имплантации, инструментарий, медикаментозное периоперационное сопровождение.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0B0C8D" w:rsidRDefault="00B7164A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УК-1, УК-2, УК-11,ОПК-1, ОПК-5, ОПК-6, ОПК-8, ОПК-9, ОПК-12, ОПК-13,</w:t>
            </w:r>
          </w:p>
          <w:p w:rsidR="000B0C8D" w:rsidRDefault="00B7164A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ПК-1, ПК-2.</w:t>
            </w:r>
          </w:p>
        </w:tc>
      </w:tr>
      <w:tr w:rsidR="000B0C8D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0B0C8D" w:rsidRDefault="00B7164A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0B0C8D" w:rsidRDefault="00B7164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Топография челюстно-лицевой системы. Методы обследования костно-мышечной системы для имплантации. Виды дефектов и деформаций альвеолярной части челюстей.  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0B0C8D" w:rsidRDefault="00B7164A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УК-1, УК-2, УК-11,ОПК-1, ОПК-5, ОПК-6, ОПК-8, ОПК-9, ОПК-12, ОПК-13,</w:t>
            </w:r>
          </w:p>
          <w:p w:rsidR="000B0C8D" w:rsidRDefault="00B7164A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ПК-1, ПК-2.</w:t>
            </w:r>
          </w:p>
        </w:tc>
      </w:tr>
      <w:tr w:rsidR="000B0C8D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0B0C8D" w:rsidRDefault="00B7164A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0B0C8D" w:rsidRDefault="00B7164A">
            <w:pPr>
              <w:spacing w:after="0" w:line="264" w:lineRule="auto"/>
              <w:ind w:right="1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Хирургический инструментарий и медикаментозное сопровождение  дентальной имплантации.  Особенности различных имплантационных систем.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0B0C8D" w:rsidRDefault="00B7164A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УК-1, УК-2, УК-11,ОПК-1, ОПК-5, ОПК-6, ОПК-8, ОПК-9, ОПК-12, ОПК-13,</w:t>
            </w:r>
          </w:p>
          <w:p w:rsidR="000B0C8D" w:rsidRDefault="00B7164A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ПК-1, ПК-2.</w:t>
            </w:r>
          </w:p>
        </w:tc>
      </w:tr>
      <w:tr w:rsidR="000B0C8D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0B0C8D" w:rsidRDefault="00B7164A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0B0C8D" w:rsidRDefault="00B7164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Хирургические методики дентальной имплантации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0B0C8D" w:rsidRDefault="00B7164A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УК-1, УК-2, УК-11,ОПК-1, ОПК-5, ОПК-6, ОПК-8, ОПК-9, ОПК-12, ОПК-13,</w:t>
            </w:r>
          </w:p>
          <w:p w:rsidR="000B0C8D" w:rsidRDefault="00B7164A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ПК-1, ПК-2.</w:t>
            </w:r>
          </w:p>
        </w:tc>
      </w:tr>
      <w:tr w:rsidR="000B0C8D">
        <w:trPr>
          <w:trHeight w:val="1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0B0C8D" w:rsidRDefault="00B7164A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9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0B0C8D" w:rsidRDefault="00B7164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Имплантация в сложных клинических случаях.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0B0C8D" w:rsidRDefault="00B7164A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УК-1, УК-2, УК-11,ОПК-1, ОПК-5, ОПК-6, ОПК-8, ОПК-9, ОПК-12, ОПК-13,</w:t>
            </w:r>
          </w:p>
          <w:p w:rsidR="000B0C8D" w:rsidRDefault="00B7164A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ПК-1, ПК-2.</w:t>
            </w:r>
          </w:p>
        </w:tc>
      </w:tr>
      <w:tr w:rsidR="000B0C8D">
        <w:trPr>
          <w:trHeight w:val="1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0B0C8D" w:rsidRDefault="00B7164A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0B0C8D" w:rsidRDefault="00B7164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Биологические основы костной пластики.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0B0C8D" w:rsidRDefault="00B7164A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УК-1, УК-2, УК-11,ОПК-1, ОПК-5, ОПК-6, ОПК-8, ОПК-9, ОПК-12, ОПК-13,</w:t>
            </w:r>
          </w:p>
          <w:p w:rsidR="000B0C8D" w:rsidRDefault="00B7164A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ПК-1, ПК-2.</w:t>
            </w:r>
          </w:p>
        </w:tc>
      </w:tr>
      <w:tr w:rsidR="000B0C8D">
        <w:trPr>
          <w:trHeight w:val="1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0B0C8D" w:rsidRDefault="00B7164A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0B0C8D" w:rsidRDefault="00B7164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Современные представления об остеопластических материалах. Применение  их в дентальной имплантологии</w:t>
            </w:r>
            <w:r>
              <w:rPr>
                <w:rFonts w:ascii="Times New Roman" w:hAnsi="Times New Roman"/>
                <w:sz w:val="24"/>
              </w:rPr>
              <w:t xml:space="preserve"> и при реконструктивных вмешательствах в полости рта, зубосохраняющих операциях.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0B0C8D" w:rsidRDefault="00B7164A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УК-1, УК-2, УК-11,ОПК-1, ОПК-5, ОПК-6, ОПК-8, ОПК-9, ОПК-12, ОПК-13,</w:t>
            </w:r>
          </w:p>
          <w:p w:rsidR="000B0C8D" w:rsidRDefault="00B7164A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УК-1, УК-2, УК-11,ОПК-1, ОПК-5, ОПК-6, ОПК-8, ОПК-9, ОПК-12, ОПК-13,</w:t>
            </w:r>
          </w:p>
          <w:p w:rsidR="000B0C8D" w:rsidRDefault="00B7164A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ПК-1, ПК-2.</w:t>
            </w:r>
          </w:p>
        </w:tc>
      </w:tr>
      <w:tr w:rsidR="000B0C8D">
        <w:trPr>
          <w:trHeight w:val="1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0B0C8D" w:rsidRDefault="00B7164A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0B0C8D" w:rsidRDefault="00B7164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Виды реконструктивных вмешательств на челюстных костях и техника их проведения.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0B0C8D" w:rsidRDefault="00B7164A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УК-1, УК-2, УК-11,ОПК-1, ОПК-5, ОПК-6, ОПК-8, ОПК-9, ОПК-12, ОПК-13,</w:t>
            </w:r>
          </w:p>
          <w:p w:rsidR="000B0C8D" w:rsidRDefault="00B7164A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ПК-1, ПК-2.</w:t>
            </w:r>
          </w:p>
        </w:tc>
      </w:tr>
      <w:tr w:rsidR="000B0C8D">
        <w:trPr>
          <w:trHeight w:val="1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0B0C8D" w:rsidRDefault="00B7164A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0B0C8D" w:rsidRDefault="00B7164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Синус-лифтинг. Показания. Противопоказания. Виды. Методики проведения.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0B0C8D" w:rsidRDefault="00B7164A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УК-1, УК-2, УК-11,</w:t>
            </w:r>
            <w:r>
              <w:rPr>
                <w:rFonts w:ascii="Times New Roman" w:hAnsi="Times New Roman"/>
                <w:sz w:val="24"/>
              </w:rPr>
              <w:t>ОПК-1, ОПК-5, ОПК-6, ОПК-8, ОПК-9, ОПК-12, ОПК-13,</w:t>
            </w:r>
          </w:p>
          <w:p w:rsidR="000B0C8D" w:rsidRDefault="00B7164A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ПК-1, ПК-2.</w:t>
            </w:r>
          </w:p>
        </w:tc>
      </w:tr>
      <w:tr w:rsidR="000B0C8D">
        <w:trPr>
          <w:trHeight w:val="1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0B0C8D" w:rsidRDefault="00B7164A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0B0C8D" w:rsidRDefault="00B7164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Основные методики направленной тканевой регенерации с использованием мембранной техники и титановых каркасов.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0B0C8D" w:rsidRDefault="00B7164A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УК-1, УК-2, УК-11,ОПК-1, ОПК-5, ОПК-6, ОПК-8, ОПК-9, ОПК-12, ОПК-13,</w:t>
            </w:r>
          </w:p>
          <w:p w:rsidR="000B0C8D" w:rsidRDefault="00B7164A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ПК-1, ПК-</w:t>
            </w:r>
            <w:r>
              <w:rPr>
                <w:rFonts w:ascii="Times New Roman" w:hAnsi="Times New Roman"/>
                <w:sz w:val="24"/>
              </w:rPr>
              <w:t>2.</w:t>
            </w:r>
          </w:p>
        </w:tc>
      </w:tr>
      <w:tr w:rsidR="000B0C8D">
        <w:trPr>
          <w:trHeight w:val="1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0B0C8D" w:rsidRDefault="00B7164A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0B0C8D" w:rsidRDefault="00B7164A">
            <w:pPr>
              <w:spacing w:after="0" w:line="264" w:lineRule="auto"/>
              <w:ind w:right="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Возможные осложнения на этапе установки дентальных имплантатов. Способы их профилактики и лечения. Профилактика и лечение осложнений стоматологической имплантации.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0B0C8D" w:rsidRDefault="00B7164A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УК-1, УК-2, УК-11,ОПК-1, ОПК-5, ОПК-6, ОПК-8, ОПК-9, ОПК-12, ОПК-13,</w:t>
            </w:r>
          </w:p>
          <w:p w:rsidR="000B0C8D" w:rsidRDefault="00B7164A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ПК-1, ПК-2.</w:t>
            </w:r>
          </w:p>
        </w:tc>
      </w:tr>
      <w:tr w:rsidR="000B0C8D">
        <w:trPr>
          <w:trHeight w:val="1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0B0C8D" w:rsidRDefault="00B7164A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0B0C8D" w:rsidRDefault="00B7164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Профессиональная гигиена полости рта при использовании дентальных имплантатов.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0B0C8D" w:rsidRDefault="00B7164A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УК-1, УК-2, УК-11,ОПК-1, ОПК-5, ОПК-6, ОПК-8, ОПК-9, ОПК-12, ОПК-13,</w:t>
            </w:r>
          </w:p>
          <w:p w:rsidR="000B0C8D" w:rsidRDefault="00B7164A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ПК-1, ПК-2.</w:t>
            </w:r>
          </w:p>
        </w:tc>
      </w:tr>
    </w:tbl>
    <w:p w:rsidR="000B0C8D" w:rsidRDefault="000B0C8D">
      <w:pPr>
        <w:spacing w:after="0"/>
        <w:jc w:val="both"/>
        <w:rPr>
          <w:rFonts w:ascii="Times New Roman" w:hAnsi="Times New Roman"/>
          <w:b/>
          <w:sz w:val="24"/>
        </w:rPr>
      </w:pPr>
    </w:p>
    <w:p w:rsidR="000B0C8D" w:rsidRDefault="00B7164A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Примеры типовых контрольных заданий или иных материалов, необходимых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программы: </w:t>
      </w:r>
    </w:p>
    <w:p w:rsidR="000B0C8D" w:rsidRDefault="00B7164A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Остеоинтеграция – это </w:t>
      </w:r>
    </w:p>
    <w:p w:rsidR="000B0C8D" w:rsidRDefault="00B7164A">
      <w:pPr>
        <w:numPr>
          <w:ilvl w:val="0"/>
          <w:numId w:val="2"/>
        </w:numPr>
        <w:spacing w:after="0" w:line="264" w:lineRule="auto"/>
        <w:ind w:right="97" w:hanging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Пря</w:t>
      </w:r>
      <w:r>
        <w:rPr>
          <w:rFonts w:ascii="Times New Roman" w:hAnsi="Times New Roman"/>
          <w:sz w:val="24"/>
        </w:rPr>
        <w:t xml:space="preserve">мая структурная и функциональная связь между высокодифференцированной живой костью и поверхностью опорного имплантата, выявляемая на уровне световой микроскопии. + </w:t>
      </w:r>
    </w:p>
    <w:p w:rsidR="000B0C8D" w:rsidRDefault="00B7164A">
      <w:pPr>
        <w:numPr>
          <w:ilvl w:val="0"/>
          <w:numId w:val="2"/>
        </w:numPr>
        <w:spacing w:after="0" w:line="264" w:lineRule="auto"/>
        <w:ind w:right="97" w:hanging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Реакция организма на внедрение инородного тела, состоит в формировании фиброзной капсулы во</w:t>
      </w:r>
      <w:r>
        <w:rPr>
          <w:rFonts w:ascii="Times New Roman" w:hAnsi="Times New Roman"/>
          <w:sz w:val="24"/>
        </w:rPr>
        <w:t xml:space="preserve">круг него. </w:t>
      </w:r>
    </w:p>
    <w:p w:rsidR="000B0C8D" w:rsidRDefault="00B7164A">
      <w:pPr>
        <w:numPr>
          <w:ilvl w:val="0"/>
          <w:numId w:val="2"/>
        </w:numPr>
        <w:spacing w:after="0" w:line="264" w:lineRule="auto"/>
        <w:ind w:right="97" w:hanging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Процесс образования соединительной ткани на поверхности имплантата. </w:t>
      </w:r>
    </w:p>
    <w:p w:rsidR="000B0C8D" w:rsidRDefault="00B7164A">
      <w:pPr>
        <w:numPr>
          <w:ilvl w:val="0"/>
          <w:numId w:val="2"/>
        </w:numPr>
        <w:spacing w:after="0" w:line="264" w:lineRule="auto"/>
        <w:ind w:right="97" w:hanging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Реакция кости на инородное тело, которое инкапсулируется посредством костного рубца. </w:t>
      </w:r>
    </w:p>
    <w:p w:rsidR="000B0C8D" w:rsidRDefault="00B7164A">
      <w:pPr>
        <w:numPr>
          <w:ilvl w:val="0"/>
          <w:numId w:val="2"/>
        </w:numPr>
        <w:spacing w:after="0" w:line="264" w:lineRule="auto"/>
        <w:ind w:right="97" w:hanging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Снижение общего объема костной ткани. </w:t>
      </w:r>
    </w:p>
    <w:p w:rsidR="000B0C8D" w:rsidRDefault="00B7164A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К биоинертным материалам относятся: </w:t>
      </w:r>
    </w:p>
    <w:p w:rsidR="000B0C8D" w:rsidRDefault="00B7164A">
      <w:pPr>
        <w:numPr>
          <w:ilvl w:val="0"/>
          <w:numId w:val="3"/>
        </w:numPr>
        <w:spacing w:after="0" w:line="264" w:lineRule="auto"/>
        <w:ind w:right="3109" w:hanging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Нержавеющая сталь. </w:t>
      </w:r>
    </w:p>
    <w:p w:rsidR="000B0C8D" w:rsidRDefault="00B7164A">
      <w:pPr>
        <w:numPr>
          <w:ilvl w:val="0"/>
          <w:numId w:val="3"/>
        </w:numPr>
        <w:spacing w:after="0" w:line="264" w:lineRule="auto"/>
        <w:ind w:right="3109" w:hanging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Хромокобальтовые сплавы. 3. Титан, цирконий. + </w:t>
      </w:r>
    </w:p>
    <w:p w:rsidR="000B0C8D" w:rsidRDefault="00B7164A">
      <w:pPr>
        <w:numPr>
          <w:ilvl w:val="0"/>
          <w:numId w:val="4"/>
        </w:numPr>
        <w:spacing w:after="0" w:line="264" w:lineRule="auto"/>
        <w:ind w:right="97" w:hanging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Гидроксиапатит. </w:t>
      </w:r>
    </w:p>
    <w:p w:rsidR="000B0C8D" w:rsidRDefault="00B7164A">
      <w:pPr>
        <w:numPr>
          <w:ilvl w:val="0"/>
          <w:numId w:val="4"/>
        </w:numPr>
        <w:spacing w:after="0" w:line="264" w:lineRule="auto"/>
        <w:ind w:right="97" w:hanging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Серебряно-палладиевые сплавы. </w:t>
      </w:r>
    </w:p>
    <w:p w:rsidR="000B0C8D" w:rsidRDefault="00B7164A">
      <w:pPr>
        <w:spacing w:after="0"/>
        <w:ind w:left="10" w:right="461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К биотолерантным материалам относятся: 1. Нержавеющая сталь. + </w:t>
      </w:r>
    </w:p>
    <w:p w:rsidR="000B0C8D" w:rsidRDefault="00B7164A">
      <w:pPr>
        <w:numPr>
          <w:ilvl w:val="0"/>
          <w:numId w:val="5"/>
        </w:numPr>
        <w:spacing w:after="0" w:line="264" w:lineRule="auto"/>
        <w:ind w:right="97" w:hanging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Титан и его сплавы. </w:t>
      </w:r>
    </w:p>
    <w:p w:rsidR="000B0C8D" w:rsidRDefault="00B7164A">
      <w:pPr>
        <w:numPr>
          <w:ilvl w:val="0"/>
          <w:numId w:val="5"/>
        </w:numPr>
        <w:spacing w:after="0" w:line="264" w:lineRule="auto"/>
        <w:ind w:right="97" w:hanging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Цирконий. </w:t>
      </w:r>
    </w:p>
    <w:p w:rsidR="000B0C8D" w:rsidRDefault="00B7164A">
      <w:pPr>
        <w:numPr>
          <w:ilvl w:val="0"/>
          <w:numId w:val="5"/>
        </w:numPr>
        <w:spacing w:after="0" w:line="264" w:lineRule="auto"/>
        <w:ind w:right="97" w:hanging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Тантал. </w:t>
      </w:r>
    </w:p>
    <w:p w:rsidR="000B0C8D" w:rsidRDefault="00B7164A">
      <w:pPr>
        <w:numPr>
          <w:ilvl w:val="0"/>
          <w:numId w:val="5"/>
        </w:numPr>
        <w:spacing w:after="0" w:line="264" w:lineRule="auto"/>
        <w:ind w:right="97" w:hanging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Трикальцийфосфат. </w:t>
      </w:r>
    </w:p>
    <w:p w:rsidR="000B0C8D" w:rsidRDefault="00B7164A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К местному</w:t>
      </w:r>
      <w:r>
        <w:rPr>
          <w:rFonts w:ascii="Times New Roman" w:hAnsi="Times New Roman"/>
          <w:sz w:val="24"/>
        </w:rPr>
        <w:t xml:space="preserve"> противопоказанию для проведения дентальной имплантации относится: </w:t>
      </w:r>
    </w:p>
    <w:p w:rsidR="000B0C8D" w:rsidRDefault="00B7164A">
      <w:pPr>
        <w:numPr>
          <w:ilvl w:val="0"/>
          <w:numId w:val="6"/>
        </w:numPr>
        <w:spacing w:after="0" w:line="264" w:lineRule="auto"/>
        <w:ind w:right="97" w:hanging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Локализованный пародонтит. </w:t>
      </w:r>
    </w:p>
    <w:p w:rsidR="000B0C8D" w:rsidRDefault="00B7164A">
      <w:pPr>
        <w:numPr>
          <w:ilvl w:val="0"/>
          <w:numId w:val="6"/>
        </w:numPr>
        <w:spacing w:after="0" w:line="264" w:lineRule="auto"/>
        <w:ind w:right="97" w:hanging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Множественный кариес. </w:t>
      </w:r>
    </w:p>
    <w:p w:rsidR="000B0C8D" w:rsidRDefault="00B7164A">
      <w:pPr>
        <w:numPr>
          <w:ilvl w:val="0"/>
          <w:numId w:val="6"/>
        </w:numPr>
        <w:spacing w:after="0" w:line="264" w:lineRule="auto"/>
        <w:ind w:right="97" w:hanging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Патологическая стираемость твердых тканей зубов со снижением высоты прикуса. + </w:t>
      </w:r>
    </w:p>
    <w:p w:rsidR="000B0C8D" w:rsidRDefault="00B7164A">
      <w:pPr>
        <w:numPr>
          <w:ilvl w:val="0"/>
          <w:numId w:val="6"/>
        </w:numPr>
        <w:spacing w:after="0" w:line="264" w:lineRule="auto"/>
        <w:ind w:right="97" w:hanging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Отсутствие одного зуба. </w:t>
      </w:r>
    </w:p>
    <w:p w:rsidR="000B0C8D" w:rsidRDefault="00B7164A">
      <w:pPr>
        <w:numPr>
          <w:ilvl w:val="0"/>
          <w:numId w:val="6"/>
        </w:numPr>
        <w:spacing w:after="0" w:line="264" w:lineRule="auto"/>
        <w:ind w:right="97" w:hanging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Полная адентия. </w:t>
      </w:r>
    </w:p>
    <w:p w:rsidR="000B0C8D" w:rsidRDefault="00B7164A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Контактныйос</w:t>
      </w:r>
      <w:r>
        <w:rPr>
          <w:rFonts w:ascii="Times New Roman" w:hAnsi="Times New Roman"/>
          <w:sz w:val="24"/>
        </w:rPr>
        <w:t xml:space="preserve">теогенез – это </w:t>
      </w:r>
    </w:p>
    <w:p w:rsidR="000B0C8D" w:rsidRDefault="00B7164A">
      <w:pPr>
        <w:numPr>
          <w:ilvl w:val="0"/>
          <w:numId w:val="7"/>
        </w:numPr>
        <w:spacing w:after="0" w:line="264" w:lineRule="auto"/>
        <w:ind w:right="97" w:hanging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Процесс регенерации костной ткани вокруг имплантата. </w:t>
      </w:r>
    </w:p>
    <w:p w:rsidR="000B0C8D" w:rsidRDefault="00B7164A">
      <w:pPr>
        <w:numPr>
          <w:ilvl w:val="0"/>
          <w:numId w:val="7"/>
        </w:numPr>
        <w:spacing w:after="0" w:line="264" w:lineRule="auto"/>
        <w:ind w:right="97" w:hanging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Процесс регенерации костной ткани непосредственно на поверхности имплантата. + </w:t>
      </w:r>
    </w:p>
    <w:p w:rsidR="000B0C8D" w:rsidRDefault="00B7164A">
      <w:pPr>
        <w:numPr>
          <w:ilvl w:val="0"/>
          <w:numId w:val="7"/>
        </w:numPr>
        <w:spacing w:after="0" w:line="264" w:lineRule="auto"/>
        <w:ind w:right="97" w:hanging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Восстановление участков кости после травмы. </w:t>
      </w:r>
    </w:p>
    <w:p w:rsidR="000B0C8D" w:rsidRDefault="00B7164A">
      <w:pPr>
        <w:numPr>
          <w:ilvl w:val="0"/>
          <w:numId w:val="7"/>
        </w:numPr>
        <w:spacing w:after="0" w:line="264" w:lineRule="auto"/>
        <w:ind w:right="97" w:hanging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Неадекватная минерализация органического костного матрикса при сохраняющейся в норме скелетной массе. </w:t>
      </w:r>
    </w:p>
    <w:p w:rsidR="000B0C8D" w:rsidRDefault="00B7164A">
      <w:pPr>
        <w:numPr>
          <w:ilvl w:val="0"/>
          <w:numId w:val="7"/>
        </w:numPr>
        <w:spacing w:after="0" w:line="264" w:lineRule="auto"/>
        <w:ind w:right="97" w:hanging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Снижение функциональной нагрузки на костную ткань. </w:t>
      </w:r>
    </w:p>
    <w:p w:rsidR="000B0C8D" w:rsidRDefault="000B0C8D">
      <w:pPr>
        <w:spacing w:after="0" w:line="264" w:lineRule="auto"/>
        <w:ind w:left="240" w:right="97"/>
        <w:jc w:val="both"/>
        <w:rPr>
          <w:rFonts w:ascii="Times New Roman" w:hAnsi="Times New Roman"/>
          <w:sz w:val="24"/>
        </w:rPr>
      </w:pPr>
    </w:p>
    <w:p w:rsidR="000B0C8D" w:rsidRDefault="00B7164A">
      <w:pPr>
        <w:tabs>
          <w:tab w:val="left" w:pos="187"/>
        </w:tabs>
        <w:spacing w:after="0" w:line="360" w:lineRule="auto"/>
        <w:ind w:firstLine="53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Ситуационная задача №1.</w:t>
      </w:r>
    </w:p>
    <w:p w:rsidR="000B0C8D" w:rsidRDefault="00B7164A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Пациенту В. 56 лет 2 года назад был изготовлен на нижнюю челюсть съёмный про</w:t>
      </w:r>
      <w:r>
        <w:rPr>
          <w:rFonts w:ascii="Times New Roman" w:hAnsi="Times New Roman"/>
          <w:sz w:val="24"/>
        </w:rPr>
        <w:t>тез с замковой системой фиксации в области внутрикостных имплантатов 33, 43. Обратился с жалобами на плохую фиксацию, подвижность протеза во время приема пищи. Ранее на профилактические приемы к стоматологу не являлся.</w:t>
      </w:r>
    </w:p>
    <w:p w:rsidR="000B0C8D" w:rsidRDefault="00B7164A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lastRenderedPageBreak/>
        <w:drawing>
          <wp:inline distT="0" distB="0" distL="0" distR="0">
            <wp:extent cx="1676400" cy="146685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16764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1638300" cy="1419225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/>
                    <a:srcRect r="4837"/>
                    <a:stretch/>
                  </pic:blipFill>
                  <pic:spPr>
                    <a:xfrm>
                      <a:off x="0" y="0"/>
                      <a:ext cx="163830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1123950" cy="139065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11239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C8D" w:rsidRDefault="000B0C8D">
      <w:pPr>
        <w:tabs>
          <w:tab w:val="left" w:pos="20412"/>
        </w:tabs>
        <w:spacing w:after="0" w:line="360" w:lineRule="auto"/>
        <w:jc w:val="both"/>
        <w:rPr>
          <w:rFonts w:ascii="Times New Roman" w:hAnsi="Times New Roman"/>
          <w:sz w:val="24"/>
        </w:rPr>
      </w:pPr>
    </w:p>
    <w:p w:rsidR="000B0C8D" w:rsidRDefault="00B7164A">
      <w:pPr>
        <w:pStyle w:val="aa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Установите причину подвижности, </w:t>
      </w:r>
      <w:r>
        <w:rPr>
          <w:rFonts w:ascii="Times New Roman" w:hAnsi="Times New Roman"/>
          <w:sz w:val="24"/>
        </w:rPr>
        <w:t>плохой фиксации съёмного протеза.</w:t>
      </w:r>
    </w:p>
    <w:p w:rsidR="000B0C8D" w:rsidRDefault="00B7164A">
      <w:pPr>
        <w:pStyle w:val="aa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Назовите методы устранения в данном клиническом случае.</w:t>
      </w:r>
    </w:p>
    <w:p w:rsidR="000B0C8D" w:rsidRDefault="00B7164A">
      <w:pPr>
        <w:pStyle w:val="aa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Укажите виды имплантатов, абатментов для съёмного, несъёмного протезирования.</w:t>
      </w:r>
    </w:p>
    <w:p w:rsidR="000B0C8D" w:rsidRDefault="00B7164A">
      <w:pPr>
        <w:pStyle w:val="aa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Перечислите особенности ортопедического лечения с опорой на имплантаты.</w:t>
      </w:r>
    </w:p>
    <w:p w:rsidR="000B0C8D" w:rsidRDefault="00B7164A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Эталоны ответов.</w:t>
      </w:r>
    </w:p>
    <w:p w:rsidR="000B0C8D" w:rsidRDefault="00B7164A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Несоответствие базиса съёмного протеза тканям протезного ложе; ослабление силиконовых матриц замкового соединения.</w:t>
      </w:r>
    </w:p>
    <w:p w:rsidR="000B0C8D" w:rsidRDefault="00B7164A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Внутриротовая, лабораторная перебазировка; замена силиконовых матриц замкового соединения.</w:t>
      </w:r>
    </w:p>
    <w:p w:rsidR="000B0C8D" w:rsidRDefault="00B7164A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Внутрикостные цилиндрические, конусовидные в основном используются в несъёмном протезировании; для съёмного часто используются мини имплантаты, или стандартные меньшего диаметра со сферическим абатментом.</w:t>
      </w:r>
    </w:p>
    <w:p w:rsidR="000B0C8D" w:rsidRDefault="00B7164A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Недопустимость консолей, уменьшение  жевательной по</w:t>
      </w:r>
      <w:r>
        <w:rPr>
          <w:rFonts w:ascii="Times New Roman" w:hAnsi="Times New Roman"/>
          <w:sz w:val="24"/>
        </w:rPr>
        <w:t>верхности в жевательном отделе до премоляров (несъёмные протезы), специальные средства гигиены, отсутствие вредных привычек, нежелательно связывать имплантаты и зубы, наличие промывных пространств, нагрузка при съёмном протезировании дозировано (мягкие про</w:t>
      </w:r>
      <w:r>
        <w:rPr>
          <w:rFonts w:ascii="Times New Roman" w:hAnsi="Times New Roman"/>
          <w:sz w:val="24"/>
        </w:rPr>
        <w:t>кладки, жесткий базис.</w:t>
      </w:r>
    </w:p>
    <w:p w:rsidR="000B0C8D" w:rsidRDefault="00B7164A">
      <w:pPr>
        <w:spacing w:after="0"/>
        <w:ind w:left="10" w:right="97" w:firstLine="3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полном объеме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программы, а также методические материалы, опред</w:t>
      </w:r>
      <w:r>
        <w:rPr>
          <w:rFonts w:ascii="Times New Roman" w:hAnsi="Times New Roman"/>
          <w:sz w:val="24"/>
        </w:rPr>
        <w:t xml:space="preserve">еляющие процедуры оценивания знаний, умений, навыков и (или) опыта деятельности,  характеризующих этапы формирования компетенций, представлены в учебно-методическом комплексе модуля. </w:t>
      </w:r>
    </w:p>
    <w:p w:rsidR="000B0C8D" w:rsidRDefault="00B7164A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Промежуточная  аттестация  по модулю «Имплантология и реконструктивная х</w:t>
      </w:r>
      <w:r>
        <w:rPr>
          <w:rFonts w:ascii="Times New Roman" w:hAnsi="Times New Roman"/>
          <w:sz w:val="24"/>
        </w:rPr>
        <w:t xml:space="preserve">ирургия полости рта»   не предусмотрена основной образовательной программой и учебным </w:t>
      </w:r>
      <w:r>
        <w:rPr>
          <w:rFonts w:ascii="Times New Roman" w:hAnsi="Times New Roman"/>
          <w:sz w:val="24"/>
        </w:rPr>
        <w:lastRenderedPageBreak/>
        <w:t>планом. По окончании изучения дисциплины проводится итоговый контроль, собеседование, тестовый контроль. Для аттестации успеваемости студентов по данному разделу использу</w:t>
      </w:r>
      <w:r>
        <w:rPr>
          <w:rFonts w:ascii="Times New Roman" w:hAnsi="Times New Roman"/>
          <w:sz w:val="24"/>
        </w:rPr>
        <w:t>ется балльно-рейтинговая система (модель 2). При этой модели результат работы на каждом практическом занятии оценивается с помощью оценочных средств. Помимо среднего балла учитываются показатели, дающие штрафы и бонусы. Штрафы накладываются за нарушение ди</w:t>
      </w:r>
      <w:r>
        <w:rPr>
          <w:rFonts w:ascii="Times New Roman" w:hAnsi="Times New Roman"/>
          <w:sz w:val="24"/>
        </w:rPr>
        <w:t xml:space="preserve">сциплины. Бонусы присуждаются за участие в студенческих олимпиадах, волонтерскую деятельность, выполнение работ по просьбе ВУЗа, участие в СНО кафедры, участие в конференциях разного уровня. </w:t>
      </w:r>
    </w:p>
    <w:p w:rsidR="000B0C8D" w:rsidRDefault="000B0C8D">
      <w:pPr>
        <w:spacing w:after="0" w:line="264" w:lineRule="auto"/>
        <w:jc w:val="both"/>
        <w:rPr>
          <w:rFonts w:ascii="Times New Roman" w:hAnsi="Times New Roman"/>
          <w:sz w:val="24"/>
        </w:rPr>
      </w:pPr>
    </w:p>
    <w:p w:rsidR="000B0C8D" w:rsidRDefault="000B0C8D">
      <w:pPr>
        <w:spacing w:after="0" w:line="264" w:lineRule="auto"/>
        <w:jc w:val="both"/>
        <w:rPr>
          <w:rFonts w:ascii="Times New Roman" w:hAnsi="Times New Roman"/>
          <w:sz w:val="24"/>
        </w:rPr>
      </w:pPr>
    </w:p>
    <w:p w:rsidR="000B0C8D" w:rsidRDefault="000B0C8D">
      <w:pPr>
        <w:spacing w:after="0" w:line="264" w:lineRule="auto"/>
        <w:jc w:val="both"/>
        <w:rPr>
          <w:rFonts w:ascii="Times New Roman" w:hAnsi="Times New Roman"/>
          <w:sz w:val="24"/>
        </w:rPr>
      </w:pPr>
    </w:p>
    <w:p w:rsidR="000B0C8D" w:rsidRDefault="000B0C8D">
      <w:pPr>
        <w:spacing w:after="0" w:line="264" w:lineRule="auto"/>
        <w:jc w:val="both"/>
        <w:rPr>
          <w:rFonts w:ascii="Times New Roman" w:hAnsi="Times New Roman"/>
          <w:sz w:val="24"/>
        </w:rPr>
      </w:pPr>
    </w:p>
    <w:p w:rsidR="000B0C8D" w:rsidRDefault="000B0C8D">
      <w:pPr>
        <w:spacing w:after="0" w:line="264" w:lineRule="auto"/>
        <w:jc w:val="both"/>
        <w:rPr>
          <w:rFonts w:ascii="Times New Roman" w:hAnsi="Times New Roman"/>
          <w:sz w:val="24"/>
        </w:rPr>
      </w:pPr>
    </w:p>
    <w:p w:rsidR="000B0C8D" w:rsidRDefault="000B0C8D">
      <w:pPr>
        <w:spacing w:after="0"/>
        <w:ind w:left="10" w:right="97"/>
        <w:jc w:val="both"/>
        <w:rPr>
          <w:rFonts w:ascii="Times New Roman" w:hAnsi="Times New Roman"/>
          <w:b/>
          <w:sz w:val="24"/>
        </w:rPr>
      </w:pPr>
    </w:p>
    <w:sectPr w:rsidR="000B0C8D" w:rsidSect="000B0C8D">
      <w:headerReference w:type="default" r:id="rId10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64A" w:rsidRDefault="00B7164A" w:rsidP="000B0C8D">
      <w:pPr>
        <w:spacing w:after="0" w:line="240" w:lineRule="auto"/>
      </w:pPr>
      <w:r>
        <w:separator/>
      </w:r>
    </w:p>
  </w:endnote>
  <w:endnote w:type="continuationSeparator" w:id="1">
    <w:p w:rsidR="00B7164A" w:rsidRDefault="00B7164A" w:rsidP="000B0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64A" w:rsidRDefault="00B7164A" w:rsidP="000B0C8D">
      <w:pPr>
        <w:spacing w:after="0" w:line="240" w:lineRule="auto"/>
      </w:pPr>
      <w:r>
        <w:separator/>
      </w:r>
    </w:p>
  </w:footnote>
  <w:footnote w:type="continuationSeparator" w:id="1">
    <w:p w:rsidR="00B7164A" w:rsidRDefault="00B7164A" w:rsidP="000B0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1916"/>
      <w:gridCol w:w="7439"/>
    </w:tblGrid>
    <w:tr w:rsidR="000B0C8D">
      <w:trPr>
        <w:trHeight w:val="2032"/>
      </w:trPr>
      <w:tc>
        <w:tcPr>
          <w:tcW w:w="19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0B0C8D" w:rsidRDefault="00B7164A">
          <w:pPr>
            <w:tabs>
              <w:tab w:val="center" w:pos="4677"/>
              <w:tab w:val="right" w:pos="9355"/>
            </w:tabs>
            <w:spacing w:before="60" w:after="0" w:line="240" w:lineRule="auto"/>
            <w:rPr>
              <w:rFonts w:ascii="Times New Roman" w:hAnsi="Times New Roman"/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117729" cy="1049693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/>
                        <a:srcRect r="59933"/>
                        <a:stretch/>
                      </pic:blipFill>
                      <pic:spPr>
                        <a:xfrm>
                          <a:off x="0" y="0"/>
                          <a:ext cx="1117729" cy="10496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0B0C8D" w:rsidRDefault="00B7164A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 xml:space="preserve">Пятигорский медико-фармацевтический институт – </w:t>
          </w:r>
        </w:p>
        <w:p w:rsidR="000B0C8D" w:rsidRDefault="00B7164A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филиал федерального государственного бюджетного образовательного учреждения высшего образования</w:t>
          </w:r>
        </w:p>
        <w:p w:rsidR="000B0C8D" w:rsidRDefault="00B7164A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 xml:space="preserve"> «Волгоградский государственный медицинский университет» Министерства здравоохранения  </w:t>
          </w:r>
        </w:p>
        <w:p w:rsidR="000B0C8D" w:rsidRDefault="00B7164A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 xml:space="preserve">Российской </w:t>
          </w:r>
          <w:r>
            <w:rPr>
              <w:rFonts w:ascii="Times New Roman" w:hAnsi="Times New Roman"/>
              <w:b/>
              <w:sz w:val="24"/>
            </w:rPr>
            <w:t>Федерации</w:t>
          </w:r>
        </w:p>
      </w:tc>
    </w:tr>
  </w:tbl>
  <w:p w:rsidR="000B0C8D" w:rsidRDefault="000B0C8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759E0"/>
    <w:multiLevelType w:val="multilevel"/>
    <w:tmpl w:val="3D1017FE"/>
    <w:lvl w:ilvl="0">
      <w:start w:val="1"/>
      <w:numFmt w:val="decimal"/>
      <w:lvlText w:val="%1."/>
      <w:lvlJc w:val="left"/>
      <w:pPr>
        <w:ind w:left="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1">
    <w:nsid w:val="10B80CE7"/>
    <w:multiLevelType w:val="multilevel"/>
    <w:tmpl w:val="577A57E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7B97D80"/>
    <w:multiLevelType w:val="multilevel"/>
    <w:tmpl w:val="F24CD8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F1385"/>
    <w:multiLevelType w:val="multilevel"/>
    <w:tmpl w:val="2A24F03A"/>
    <w:lvl w:ilvl="0">
      <w:start w:val="1"/>
      <w:numFmt w:val="decimal"/>
      <w:lvlText w:val="%1."/>
      <w:lvlJc w:val="left"/>
      <w:pPr>
        <w:ind w:left="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4">
    <w:nsid w:val="4D8D5A67"/>
    <w:multiLevelType w:val="multilevel"/>
    <w:tmpl w:val="DE2CD3FA"/>
    <w:lvl w:ilvl="0">
      <w:start w:val="4"/>
      <w:numFmt w:val="decimal"/>
      <w:lvlText w:val="%1."/>
      <w:lvlJc w:val="left"/>
      <w:pPr>
        <w:ind w:left="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5">
    <w:nsid w:val="52D44430"/>
    <w:multiLevelType w:val="multilevel"/>
    <w:tmpl w:val="2FC634A8"/>
    <w:lvl w:ilvl="0">
      <w:start w:val="1"/>
      <w:numFmt w:val="decimal"/>
      <w:lvlText w:val="%1."/>
      <w:lvlJc w:val="left"/>
      <w:pPr>
        <w:ind w:left="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6">
    <w:nsid w:val="54A17BFF"/>
    <w:multiLevelType w:val="multilevel"/>
    <w:tmpl w:val="90547FC4"/>
    <w:lvl w:ilvl="0">
      <w:start w:val="1"/>
      <w:numFmt w:val="decimal"/>
      <w:lvlText w:val="%1."/>
      <w:lvlJc w:val="left"/>
      <w:pPr>
        <w:ind w:left="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7">
    <w:nsid w:val="556F464B"/>
    <w:multiLevelType w:val="multilevel"/>
    <w:tmpl w:val="D69E0B18"/>
    <w:lvl w:ilvl="0">
      <w:start w:val="2"/>
      <w:numFmt w:val="decimal"/>
      <w:lvlText w:val="%1."/>
      <w:lvlJc w:val="left"/>
      <w:pPr>
        <w:ind w:left="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8">
    <w:nsid w:val="7CFB7AF4"/>
    <w:multiLevelType w:val="multilevel"/>
    <w:tmpl w:val="86DC1AD4"/>
    <w:lvl w:ilvl="0">
      <w:start w:val="1"/>
      <w:numFmt w:val="bullet"/>
      <w:lvlText w:val="-"/>
      <w:lvlJc w:val="left"/>
      <w:pPr>
        <w:ind w:left="13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0C8D"/>
    <w:rsid w:val="000B0C8D"/>
    <w:rsid w:val="007C3AD5"/>
    <w:rsid w:val="00B71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B0C8D"/>
  </w:style>
  <w:style w:type="paragraph" w:styleId="10">
    <w:name w:val="heading 1"/>
    <w:next w:val="a"/>
    <w:link w:val="11"/>
    <w:uiPriority w:val="9"/>
    <w:qFormat/>
    <w:rsid w:val="000B0C8D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B0C8D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0B0C8D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0B0C8D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0B0C8D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B0C8D"/>
  </w:style>
  <w:style w:type="paragraph" w:styleId="21">
    <w:name w:val="toc 2"/>
    <w:next w:val="a"/>
    <w:link w:val="22"/>
    <w:uiPriority w:val="39"/>
    <w:rsid w:val="000B0C8D"/>
    <w:pPr>
      <w:ind w:left="200"/>
    </w:pPr>
  </w:style>
  <w:style w:type="character" w:customStyle="1" w:styleId="22">
    <w:name w:val="Оглавление 2 Знак"/>
    <w:link w:val="21"/>
    <w:rsid w:val="000B0C8D"/>
  </w:style>
  <w:style w:type="paragraph" w:styleId="41">
    <w:name w:val="toc 4"/>
    <w:next w:val="a"/>
    <w:link w:val="42"/>
    <w:uiPriority w:val="39"/>
    <w:rsid w:val="000B0C8D"/>
    <w:pPr>
      <w:ind w:left="600"/>
    </w:pPr>
  </w:style>
  <w:style w:type="character" w:customStyle="1" w:styleId="42">
    <w:name w:val="Оглавление 4 Знак"/>
    <w:link w:val="41"/>
    <w:rsid w:val="000B0C8D"/>
  </w:style>
  <w:style w:type="paragraph" w:styleId="6">
    <w:name w:val="toc 6"/>
    <w:next w:val="a"/>
    <w:link w:val="60"/>
    <w:uiPriority w:val="39"/>
    <w:rsid w:val="000B0C8D"/>
    <w:pPr>
      <w:ind w:left="1000"/>
    </w:pPr>
  </w:style>
  <w:style w:type="character" w:customStyle="1" w:styleId="60">
    <w:name w:val="Оглавление 6 Знак"/>
    <w:link w:val="6"/>
    <w:rsid w:val="000B0C8D"/>
  </w:style>
  <w:style w:type="paragraph" w:styleId="7">
    <w:name w:val="toc 7"/>
    <w:next w:val="a"/>
    <w:link w:val="70"/>
    <w:uiPriority w:val="39"/>
    <w:rsid w:val="000B0C8D"/>
    <w:pPr>
      <w:ind w:left="1200"/>
    </w:pPr>
  </w:style>
  <w:style w:type="character" w:customStyle="1" w:styleId="70">
    <w:name w:val="Оглавление 7 Знак"/>
    <w:link w:val="7"/>
    <w:rsid w:val="000B0C8D"/>
  </w:style>
  <w:style w:type="character" w:customStyle="1" w:styleId="30">
    <w:name w:val="Заголовок 3 Знак"/>
    <w:link w:val="3"/>
    <w:rsid w:val="000B0C8D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  <w:link w:val="a3"/>
    <w:rsid w:val="000B0C8D"/>
  </w:style>
  <w:style w:type="paragraph" w:styleId="a3">
    <w:name w:val="Body Text"/>
    <w:basedOn w:val="a"/>
    <w:link w:val="a4"/>
    <w:rsid w:val="000B0C8D"/>
    <w:pPr>
      <w:spacing w:after="120" w:line="240" w:lineRule="auto"/>
    </w:pPr>
    <w:rPr>
      <w:rFonts w:ascii="Arial" w:hAnsi="Arial"/>
      <w:sz w:val="24"/>
    </w:rPr>
  </w:style>
  <w:style w:type="character" w:customStyle="1" w:styleId="a4">
    <w:name w:val="Основной текст Знак"/>
    <w:basedOn w:val="1"/>
    <w:link w:val="a3"/>
    <w:rsid w:val="000B0C8D"/>
    <w:rPr>
      <w:rFonts w:ascii="Arial" w:hAnsi="Arial"/>
      <w:sz w:val="24"/>
    </w:rPr>
  </w:style>
  <w:style w:type="paragraph" w:styleId="31">
    <w:name w:val="toc 3"/>
    <w:next w:val="a"/>
    <w:link w:val="32"/>
    <w:uiPriority w:val="39"/>
    <w:rsid w:val="000B0C8D"/>
    <w:pPr>
      <w:ind w:left="400"/>
    </w:pPr>
  </w:style>
  <w:style w:type="character" w:customStyle="1" w:styleId="32">
    <w:name w:val="Оглавление 3 Знак"/>
    <w:link w:val="31"/>
    <w:rsid w:val="000B0C8D"/>
  </w:style>
  <w:style w:type="character" w:customStyle="1" w:styleId="50">
    <w:name w:val="Заголовок 5 Знак"/>
    <w:link w:val="5"/>
    <w:rsid w:val="000B0C8D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0B0C8D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0B0C8D"/>
    <w:rPr>
      <w:color w:val="0000FF"/>
      <w:u w:val="single"/>
    </w:rPr>
  </w:style>
  <w:style w:type="character" w:styleId="a5">
    <w:name w:val="Hyperlink"/>
    <w:link w:val="13"/>
    <w:rsid w:val="000B0C8D"/>
    <w:rPr>
      <w:color w:val="0000FF"/>
      <w:u w:val="single"/>
    </w:rPr>
  </w:style>
  <w:style w:type="paragraph" w:customStyle="1" w:styleId="Footnote">
    <w:name w:val="Footnote"/>
    <w:link w:val="Footnote0"/>
    <w:rsid w:val="000B0C8D"/>
    <w:rPr>
      <w:rFonts w:ascii="XO Thames" w:hAnsi="XO Thames"/>
    </w:rPr>
  </w:style>
  <w:style w:type="character" w:customStyle="1" w:styleId="Footnote0">
    <w:name w:val="Footnote"/>
    <w:link w:val="Footnote"/>
    <w:rsid w:val="000B0C8D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0B0C8D"/>
    <w:rPr>
      <w:rFonts w:ascii="XO Thames" w:hAnsi="XO Thames"/>
      <w:b/>
    </w:rPr>
  </w:style>
  <w:style w:type="character" w:customStyle="1" w:styleId="15">
    <w:name w:val="Оглавление 1 Знак"/>
    <w:link w:val="14"/>
    <w:rsid w:val="000B0C8D"/>
    <w:rPr>
      <w:rFonts w:ascii="XO Thames" w:hAnsi="XO Thames"/>
      <w:b/>
    </w:rPr>
  </w:style>
  <w:style w:type="paragraph" w:styleId="a6">
    <w:name w:val="Balloon Text"/>
    <w:basedOn w:val="a"/>
    <w:link w:val="a7"/>
    <w:rsid w:val="000B0C8D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sid w:val="000B0C8D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rsid w:val="000B0C8D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0B0C8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B0C8D"/>
    <w:pPr>
      <w:ind w:left="1600"/>
    </w:pPr>
  </w:style>
  <w:style w:type="character" w:customStyle="1" w:styleId="90">
    <w:name w:val="Оглавление 9 Знак"/>
    <w:link w:val="9"/>
    <w:rsid w:val="000B0C8D"/>
  </w:style>
  <w:style w:type="paragraph" w:styleId="8">
    <w:name w:val="toc 8"/>
    <w:next w:val="a"/>
    <w:link w:val="80"/>
    <w:uiPriority w:val="39"/>
    <w:rsid w:val="000B0C8D"/>
    <w:pPr>
      <w:ind w:left="1400"/>
    </w:pPr>
  </w:style>
  <w:style w:type="character" w:customStyle="1" w:styleId="80">
    <w:name w:val="Оглавление 8 Знак"/>
    <w:link w:val="8"/>
    <w:rsid w:val="000B0C8D"/>
  </w:style>
  <w:style w:type="paragraph" w:styleId="51">
    <w:name w:val="toc 5"/>
    <w:next w:val="a"/>
    <w:link w:val="52"/>
    <w:uiPriority w:val="39"/>
    <w:rsid w:val="000B0C8D"/>
    <w:pPr>
      <w:ind w:left="800"/>
    </w:pPr>
  </w:style>
  <w:style w:type="character" w:customStyle="1" w:styleId="52">
    <w:name w:val="Оглавление 5 Знак"/>
    <w:link w:val="51"/>
    <w:rsid w:val="000B0C8D"/>
  </w:style>
  <w:style w:type="paragraph" w:styleId="a8">
    <w:name w:val="Subtitle"/>
    <w:next w:val="a"/>
    <w:link w:val="a9"/>
    <w:uiPriority w:val="11"/>
    <w:qFormat/>
    <w:rsid w:val="000B0C8D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0B0C8D"/>
    <w:rPr>
      <w:rFonts w:ascii="XO Thames" w:hAnsi="XO Thames"/>
      <w:i/>
      <w:color w:val="616161"/>
      <w:sz w:val="24"/>
    </w:rPr>
  </w:style>
  <w:style w:type="paragraph" w:styleId="aa">
    <w:name w:val="List Paragraph"/>
    <w:basedOn w:val="a"/>
    <w:link w:val="ab"/>
    <w:rsid w:val="000B0C8D"/>
    <w:pPr>
      <w:ind w:left="720"/>
      <w:contextualSpacing/>
    </w:pPr>
    <w:rPr>
      <w:rFonts w:ascii="Calibri" w:hAnsi="Calibri"/>
    </w:rPr>
  </w:style>
  <w:style w:type="character" w:customStyle="1" w:styleId="ab">
    <w:name w:val="Абзац списка Знак"/>
    <w:basedOn w:val="1"/>
    <w:link w:val="aa"/>
    <w:rsid w:val="000B0C8D"/>
    <w:rPr>
      <w:rFonts w:ascii="Calibri" w:hAnsi="Calibri"/>
    </w:rPr>
  </w:style>
  <w:style w:type="paragraph" w:customStyle="1" w:styleId="toc10">
    <w:name w:val="toc 10"/>
    <w:next w:val="a"/>
    <w:link w:val="toc100"/>
    <w:uiPriority w:val="39"/>
    <w:rsid w:val="000B0C8D"/>
    <w:pPr>
      <w:ind w:left="1800"/>
    </w:pPr>
  </w:style>
  <w:style w:type="character" w:customStyle="1" w:styleId="toc100">
    <w:name w:val="toc 10"/>
    <w:link w:val="toc10"/>
    <w:rsid w:val="000B0C8D"/>
  </w:style>
  <w:style w:type="paragraph" w:styleId="ac">
    <w:name w:val="Title"/>
    <w:next w:val="a"/>
    <w:link w:val="ad"/>
    <w:uiPriority w:val="10"/>
    <w:qFormat/>
    <w:rsid w:val="000B0C8D"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sid w:val="000B0C8D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0B0C8D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0B0C8D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9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1664</Words>
  <Characters>9489</Characters>
  <Application>Microsoft Office Word</Application>
  <DocSecurity>0</DocSecurity>
  <Lines>79</Lines>
  <Paragraphs>22</Paragraphs>
  <ScaleCrop>false</ScaleCrop>
  <Company>HP</Company>
  <LinksUpToDate>false</LinksUpToDate>
  <CharactersWithSpaces>11131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3</cp:revision>
  <dcterms:created xsi:type="dcterms:W3CDTF">2023-07-06T13:48:00Z</dcterms:created>
  <dcterms:modified xsi:type="dcterms:W3CDTF">2023-07-06T13:48:00Z</dcterms:modified>
</cp:coreProperties>
</file>